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Electrical Engineer Services — Israel Tel Aviv</w:t>
      </w:r>
    </w:p>
    <w:p>
      <w:pPr>
        <w:pStyle w:val="BodyText"/>
      </w:pPr>
      <w:r>
        <w:t xml:space="preserve">Document No. QTE-2025-TLV-0472</w:t>
      </w:r>
    </w:p>
    <w:bookmarkEnd w:id="20"/>
    <w:p>
      <w:pPr>
        <w:pStyle w:val="BodyText"/>
      </w:pPr>
      <w:r>
        <w:rPr>
          <w:bCs/>
          <w:b/>
        </w:rPr>
        <w:t xml:space="preserve">Provider:</w:t>
      </w:r>
      <w:r>
        <w:br/>
      </w:r>
      <w:r>
        <w:t xml:space="preserve">Meridian Electrical Engineering Ltd.</w:t>
      </w:r>
      <w:r>
        <w:br/>
      </w:r>
      <w:r>
        <w:t xml:space="preserve">42 Dizengoff Street, Floor 7</w:t>
      </w:r>
      <w:r>
        <w:br/>
      </w:r>
      <w:r>
        <w:t xml:space="preserve">Tel Aviv, Israel 6350000</w:t>
      </w:r>
      <w:r>
        <w:br/>
      </w:r>
      <w:r>
        <w:t xml:space="preserve">Tel: +972-3-621-4488</w:t>
      </w:r>
      <w:r>
        <w:br/>
      </w:r>
      <w:r>
        <w:t xml:space="preserve">Email: estimates@meridian-ee.co.il</w:t>
      </w:r>
      <w:r>
        <w:br/>
      </w:r>
      <w:r>
        <w:t xml:space="preserve">License No. EE-IL-2019-08834</w:t>
      </w:r>
    </w:p>
    <w:p>
      <w:pPr>
        <w:pStyle w:val="BodyText"/>
      </w:pPr>
      <w:r>
        <w:rPr>
          <w:bCs/>
          <w:b/>
        </w:rPr>
        <w:t xml:space="preserve">Client:</w:t>
      </w:r>
      <w:r>
        <w:br/>
      </w:r>
      <w:r>
        <w:t xml:space="preserve">[Client Name / Company]</w:t>
      </w:r>
      <w:r>
        <w:br/>
      </w:r>
      <w:r>
        <w:t xml:space="preserve">[Street Address]</w:t>
      </w:r>
      <w:r>
        <w:br/>
      </w:r>
      <w:r>
        <w:t xml:space="preserve">Tel Aviv, Israel</w:t>
      </w:r>
      <w:r>
        <w:br/>
      </w:r>
      <w:r>
        <w:t xml:space="preserve">Tel: [Client Phone]</w:t>
      </w:r>
      <w:r>
        <w:br/>
      </w:r>
      <w:r>
        <w:t xml:space="preserve">Email: [Client Email]</w:t>
      </w:r>
    </w:p>
    <w:p>
      <w:pPr>
        <w:pStyle w:val="BodyText"/>
      </w:pP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Project Ref:</w:t>
      </w:r>
      <w:r>
        <w:t xml:space="preserve"> </w:t>
      </w:r>
      <w:r>
        <w:t xml:space="preserve">TLV-RES-2025-118</w:t>
      </w:r>
      <w:r>
        <w:br/>
      </w:r>
      <w:r>
        <w:rPr>
          <w:bCs/>
          <w:b/>
        </w:rPr>
        <w:t xml:space="preserve">Currency:</w:t>
      </w:r>
      <w:r>
        <w:t xml:space="preserve"> </w:t>
      </w:r>
      <w:r>
        <w:t xml:space="preserve">ILS (₪)</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Meridian Electrical Engineering Ltd. to provide a comprehensive, itemized cost breakdown for the professional services of a licensed</w:t>
      </w:r>
      <w:r>
        <w:t xml:space="preserve"> </w:t>
      </w:r>
      <w:r>
        <w:t xml:space="preserve">Electrical Engineer</w:t>
      </w:r>
      <w:r>
        <w:t xml:space="preserve"> </w:t>
      </w:r>
      <w:r>
        <w:t xml:space="preserve">engaged to perform design, inspection, compliance verification, and technical consultancy work on a residential and light-commercial electrical installation project located in</w:t>
      </w:r>
      <w:r>
        <w:t xml:space="preserve"> </w:t>
      </w:r>
      <w:r>
        <w:t xml:space="preserve">Israel Tel Aviv</w:t>
      </w:r>
      <w:r>
        <w:t xml:space="preserve">. This document serves as a formal, non-binding estimate of the anticipated fees, materials oversight, and professional labor required to complete the scope of work described herein. All pricing is presented in Israeli New Shekels (ILS) and is subject to the terms and conditions outlined in Section 7 of this</w:t>
      </w:r>
      <w:r>
        <w:t xml:space="preserve"> </w:t>
      </w:r>
      <w:r>
        <w:t xml:space="preserve">Quotation Estimate</w:t>
      </w:r>
      <w:r>
        <w:t xml:space="preserve">.</w:t>
      </w:r>
    </w:p>
    <w:p>
      <w:pPr>
        <w:pStyle w:val="BodyText"/>
      </w:pPr>
      <w:r>
        <w:t xml:space="preserve">The</w:t>
      </w:r>
      <w:r>
        <w:t xml:space="preserve"> </w:t>
      </w:r>
      <w:r>
        <w:t xml:space="preserve">Electrical Engineer</w:t>
      </w:r>
      <w:r>
        <w:t xml:space="preserve"> </w:t>
      </w:r>
      <w:r>
        <w:t xml:space="preserve">assigned to this project holds a valid license issued by the Israel Electrical Engineers Association (IEEA) and is fully registered with the Israel Standards Organization (SII) to perform all electrical design and inspection activities in accordance with the Israeli Electrical Code (IEC 60364 as adopted by SII) and the local building regulations enforced by the Tel Aviv-Yafo Municipality.</w:t>
      </w:r>
    </w:p>
    <w:p>
      <w:pPr>
        <w:pStyle w:val="BodyText"/>
      </w:pPr>
      <w:r>
        <w:t xml:space="preserve">2. Scope of Work — Electrical Engineer Services in Israel Tel Aviv</w:t>
      </w:r>
    </w:p>
    <w:p>
      <w:pPr>
        <w:pStyle w:val="BodyText"/>
      </w:pPr>
      <w:r>
        <w:t xml:space="preserve">The following scope of work has been defined in consultation with the client and reflects the specific requirements of the project site in</w:t>
      </w:r>
      <w:r>
        <w:t xml:space="preserve"> </w:t>
      </w:r>
      <w:r>
        <w:t xml:space="preserve">Israel Tel Aviv</w:t>
      </w:r>
      <w:r>
        <w:t xml:space="preserve">:</w:t>
      </w:r>
    </w:p>
    <w:p>
      <w:pPr>
        <w:numPr>
          <w:ilvl w:val="0"/>
          <w:numId w:val="1001"/>
        </w:numPr>
        <w:pStyle w:val="Compact"/>
      </w:pPr>
      <w:r>
        <w:t xml:space="preserve">Full electrical load calculation and single-line diagram design for a 4-unit residential building (approximately 1,200 m² total floor area) located in the Florentin district of Tel Aviv.</w:t>
      </w:r>
    </w:p>
    <w:p>
      <w:pPr>
        <w:numPr>
          <w:ilvl w:val="0"/>
          <w:numId w:val="1001"/>
        </w:numPr>
        <w:pStyle w:val="Compact"/>
      </w:pPr>
      <w:r>
        <w:t xml:space="preserve">Design of the main distribution board (MDB), sub-distribution boards (SDBs), and all associated protective devices in compliance with SII standards and Tel Aviv-Yafo Municipality building permits.</w:t>
      </w:r>
    </w:p>
    <w:p>
      <w:pPr>
        <w:numPr>
          <w:ilvl w:val="0"/>
          <w:numId w:val="1001"/>
        </w:numPr>
        <w:pStyle w:val="Compact"/>
      </w:pPr>
      <w:r>
        <w:t xml:space="preserve">Selection and specification of all electrical components including breakers, contactors, surge protection devices (SPDs), and grounding systems suitable for the coastal climate conditions prevalent in</w:t>
      </w:r>
      <w:r>
        <w:t xml:space="preserve"> </w:t>
      </w:r>
      <w:r>
        <w:t xml:space="preserve">Israel Tel Aviv</w:t>
      </w:r>
      <w:r>
        <w:t xml:space="preserve">.</w:t>
      </w:r>
    </w:p>
    <w:p>
      <w:pPr>
        <w:numPr>
          <w:ilvl w:val="0"/>
          <w:numId w:val="1001"/>
        </w:numPr>
        <w:pStyle w:val="Compact"/>
      </w:pPr>
      <w:r>
        <w:t xml:space="preserve">Preparation of as-built drawings, wiring schedules, and technical documentation required for municipal inspection and final occupancy permit.</w:t>
      </w:r>
    </w:p>
    <w:p>
      <w:pPr>
        <w:numPr>
          <w:ilvl w:val="0"/>
          <w:numId w:val="1001"/>
        </w:numPr>
        <w:pStyle w:val="Compact"/>
      </w:pPr>
      <w:r>
        <w:t xml:space="preserve">On-site supervision and inspection visits (minimum 4 visits) during the installation phase to verify compliance with the approved design.</w:t>
      </w:r>
    </w:p>
    <w:p>
      <w:pPr>
        <w:numPr>
          <w:ilvl w:val="0"/>
          <w:numId w:val="1001"/>
        </w:numPr>
        <w:pStyle w:val="Compact"/>
      </w:pPr>
      <w:r>
        <w:t xml:space="preserve">Coordination with the Israel Electric Corporation (IEC) for connection approval and metering installation.</w:t>
      </w:r>
    </w:p>
    <w:p>
      <w:pPr>
        <w:numPr>
          <w:ilvl w:val="0"/>
          <w:numId w:val="1001"/>
        </w:numPr>
        <w:pStyle w:val="Compact"/>
      </w:pPr>
      <w:r>
        <w:t xml:space="preserve">Issuance of the final Electrical Engineer certificate of compliance, as mandated by the Israeli Building Code for all new electrical installations.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Electrical load calculation, system design, and single-line diagram preparation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Detailed design of MDB, SDBs, and protective device coordination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3</w:t>
            </w:r>
          </w:p>
        </w:tc>
        <w:tc>
          <w:tcPr/>
          <w:p>
            <w:pPr>
              <w:pStyle w:val="Compact"/>
              <w:jc w:val="left"/>
            </w:pPr>
            <w:r>
              <w:t xml:space="preserve">Component specification and procurement oversight (breakers, SPDs, grounding)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7,800</w:t>
            </w:r>
          </w:p>
        </w:tc>
        <w:tc>
          <w:tcPr/>
          <w:p>
            <w:pPr>
              <w:pStyle w:val="Compact"/>
              <w:jc w:val="left"/>
            </w:pPr>
            <w:r>
              <w:t xml:space="preserve">₪ 7,800</w:t>
            </w:r>
          </w:p>
        </w:tc>
      </w:tr>
      <w:tr>
        <w:tc>
          <w:tcPr/>
          <w:p>
            <w:pPr>
              <w:pStyle w:val="Compact"/>
              <w:jc w:val="left"/>
            </w:pPr>
            <w:r>
              <w:t xml:space="preserve">4</w:t>
            </w:r>
          </w:p>
        </w:tc>
        <w:tc>
          <w:tcPr/>
          <w:p>
            <w:pPr>
              <w:pStyle w:val="Compact"/>
              <w:jc w:val="left"/>
            </w:pPr>
            <w:r>
              <w:t xml:space="preserve">As-built drawings, wiring schedules, and municipal submission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9,200</w:t>
            </w:r>
          </w:p>
        </w:tc>
        <w:tc>
          <w:tcPr/>
          <w:p>
            <w:pPr>
              <w:pStyle w:val="Compact"/>
              <w:jc w:val="left"/>
            </w:pPr>
            <w:r>
              <w:t xml:space="preserve">₪ 9,200</w:t>
            </w:r>
          </w:p>
        </w:tc>
      </w:tr>
      <w:tr>
        <w:tc>
          <w:tcPr/>
          <w:p>
            <w:pPr>
              <w:pStyle w:val="Compact"/>
              <w:jc w:val="left"/>
            </w:pPr>
            <w:r>
              <w:t xml:space="preserve">5</w:t>
            </w:r>
          </w:p>
        </w:tc>
        <w:tc>
          <w:tcPr/>
          <w:p>
            <w:pPr>
              <w:pStyle w:val="Compact"/>
              <w:jc w:val="left"/>
            </w:pPr>
            <w:r>
              <w:t xml:space="preserve">On-site inspection and supervision visits (Tel Aviv project site)</w:t>
            </w:r>
          </w:p>
        </w:tc>
        <w:tc>
          <w:tcPr/>
          <w:p>
            <w:pPr>
              <w:pStyle w:val="Compact"/>
              <w:jc w:val="left"/>
            </w:pPr>
            <w:r>
              <w:t xml:space="preserve">Visit</w:t>
            </w:r>
          </w:p>
        </w:tc>
        <w:tc>
          <w:tcPr/>
          <w:p>
            <w:pPr>
              <w:pStyle w:val="Compact"/>
              <w:jc w:val="left"/>
            </w:pPr>
            <w:r>
              <w:t xml:space="preserve">4</w:t>
            </w:r>
          </w:p>
        </w:tc>
        <w:tc>
          <w:tcPr/>
          <w:p>
            <w:pPr>
              <w:pStyle w:val="Compact"/>
              <w:jc w:val="left"/>
            </w:pPr>
            <w:r>
              <w:t xml:space="preserve">₪ 2,400</w:t>
            </w:r>
          </w:p>
        </w:tc>
        <w:tc>
          <w:tcPr/>
          <w:p>
            <w:pPr>
              <w:pStyle w:val="Compact"/>
              <w:jc w:val="left"/>
            </w:pPr>
            <w:r>
              <w:t xml:space="preserve">₪ 9,600</w:t>
            </w:r>
          </w:p>
        </w:tc>
      </w:tr>
      <w:tr>
        <w:tc>
          <w:tcPr/>
          <w:p>
            <w:pPr>
              <w:pStyle w:val="Compact"/>
              <w:jc w:val="left"/>
            </w:pPr>
            <w:r>
              <w:t xml:space="preserve">6</w:t>
            </w:r>
          </w:p>
        </w:tc>
        <w:tc>
          <w:tcPr/>
          <w:p>
            <w:pPr>
              <w:pStyle w:val="Compact"/>
              <w:jc w:val="left"/>
            </w:pPr>
            <w:r>
              <w:t xml:space="preserve">Coordination with Israel Electric Corporation (IEC) and metering approval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7</w:t>
            </w:r>
          </w:p>
        </w:tc>
        <w:tc>
          <w:tcPr/>
          <w:p>
            <w:pPr>
              <w:pStyle w:val="Compact"/>
              <w:jc w:val="left"/>
            </w:pPr>
            <w:r>
              <w:t xml:space="preserve">Final Electrical Engineer compliance certificate and municipal sign-off</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6,000</w:t>
            </w:r>
          </w:p>
        </w:tc>
        <w:tc>
          <w:tcPr/>
          <w:p>
            <w:pPr>
              <w:pStyle w:val="Compact"/>
              <w:jc w:val="left"/>
            </w:pPr>
            <w:r>
              <w:t xml:space="preserve">₪ 6,000</w:t>
            </w:r>
          </w:p>
        </w:tc>
      </w:tr>
      <w:tr>
        <w:tc>
          <w:tcPr/>
          <w:p>
            <w:pPr>
              <w:pStyle w:val="Compact"/>
              <w:jc w:val="left"/>
            </w:pPr>
            <w:r>
              <w:t xml:space="preserve">8</w:t>
            </w:r>
          </w:p>
        </w:tc>
        <w:tc>
          <w:tcPr/>
          <w:p>
            <w:pPr>
              <w:pStyle w:val="Compact"/>
              <w:jc w:val="left"/>
            </w:pPr>
            <w:r>
              <w:t xml:space="preserve">Travel and local transportation within Tel Aviv metropolitan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1,800</w:t>
            </w:r>
          </w:p>
        </w:tc>
        <w:tc>
          <w:tcPr/>
          <w:p>
            <w:pPr>
              <w:pStyle w:val="Compact"/>
              <w:jc w:val="left"/>
            </w:pPr>
            <w:r>
              <w:t xml:space="preserve">₪ 1,800</w:t>
            </w:r>
          </w:p>
        </w:tc>
      </w:tr>
      <w:tr>
        <w:tc>
          <w:tcPr>
            <w:gridSpan w:val="5"/>
          </w:tcPr>
          <w:p>
            <w:pPr>
              <w:pStyle w:val="Compact"/>
              <w:jc w:val="right"/>
            </w:pPr>
            <w:r>
              <w:t xml:space="preserve">Subtotal (excl. VAT)</w:t>
            </w:r>
          </w:p>
        </w:tc>
        <w:tc>
          <w:tcPr/>
          <w:p>
            <w:pPr>
              <w:pStyle w:val="Compact"/>
              <w:jc w:val="left"/>
            </w:pPr>
            <w:r>
              <w:t xml:space="preserve">₪ 69,400</w:t>
            </w:r>
          </w:p>
        </w:tc>
      </w:tr>
      <w:tr>
        <w:tc>
          <w:tcPr>
            <w:gridSpan w:val="5"/>
          </w:tcPr>
          <w:p>
            <w:pPr>
              <w:pStyle w:val="Compact"/>
              <w:jc w:val="right"/>
            </w:pPr>
            <w:r>
              <w:t xml:space="preserve">VAT @ 18% (Israel)</w:t>
            </w:r>
          </w:p>
        </w:tc>
        <w:tc>
          <w:tcPr/>
          <w:p>
            <w:pPr>
              <w:pStyle w:val="Compact"/>
              <w:jc w:val="left"/>
            </w:pPr>
            <w:r>
              <w:t xml:space="preserve">₪ 12,492</w:t>
            </w:r>
          </w:p>
        </w:tc>
      </w:tr>
      <w:tr>
        <w:tc>
          <w:tcPr>
            <w:gridSpan w:val="5"/>
          </w:tcPr>
          <w:p>
            <w:pPr>
              <w:pStyle w:val="Compact"/>
              <w:jc w:val="right"/>
            </w:pPr>
            <w:r>
              <w:t xml:space="preserve">GRAND TOTAL (incl. VAT)</w:t>
            </w:r>
          </w:p>
        </w:tc>
        <w:tc>
          <w:tcPr/>
          <w:p>
            <w:pPr>
              <w:pStyle w:val="Compact"/>
              <w:jc w:val="left"/>
            </w:pPr>
            <w:r>
              <w:t xml:space="preserve">₪ 81,892</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Due Date</w:t>
            </w:r>
          </w:p>
        </w:tc>
      </w:tr>
      <w:tr>
        <w:tc>
          <w:tcPr/>
          <w:p>
            <w:pPr>
              <w:pStyle w:val="Compact"/>
              <w:jc w:val="left"/>
            </w:pPr>
            <w:r>
              <w:t xml:space="preserve">Upon acceptance of this Quotation Estimate and project commencement</w:t>
            </w:r>
          </w:p>
        </w:tc>
        <w:tc>
          <w:tcPr/>
          <w:p>
            <w:pPr>
              <w:pStyle w:val="Compact"/>
              <w:jc w:val="left"/>
            </w:pPr>
            <w:r>
              <w:t xml:space="preserve">30%</w:t>
            </w:r>
          </w:p>
        </w:tc>
        <w:tc>
          <w:tcPr/>
          <w:p>
            <w:pPr>
              <w:pStyle w:val="Compact"/>
              <w:jc w:val="left"/>
            </w:pPr>
            <w:r>
              <w:t xml:space="preserve">₪ 24,568</w:t>
            </w:r>
          </w:p>
        </w:tc>
        <w:tc>
          <w:tcPr/>
          <w:p>
            <w:pPr>
              <w:pStyle w:val="Compact"/>
              <w:jc w:val="left"/>
            </w:pPr>
            <w:r>
              <w:t xml:space="preserve">Within 7 business days of acceptance</w:t>
            </w:r>
          </w:p>
        </w:tc>
      </w:tr>
      <w:tr>
        <w:tc>
          <w:tcPr/>
          <w:p>
            <w:pPr>
              <w:pStyle w:val="Compact"/>
              <w:jc w:val="left"/>
            </w:pPr>
            <w:r>
              <w:t xml:space="preserve">Upon completion of design phase and municipal submission</w:t>
            </w:r>
          </w:p>
        </w:tc>
        <w:tc>
          <w:tcPr/>
          <w:p>
            <w:pPr>
              <w:pStyle w:val="Compact"/>
              <w:jc w:val="left"/>
            </w:pPr>
            <w:r>
              <w:t xml:space="preserve">40%</w:t>
            </w:r>
          </w:p>
        </w:tc>
        <w:tc>
          <w:tcPr/>
          <w:p>
            <w:pPr>
              <w:pStyle w:val="Compact"/>
              <w:jc w:val="left"/>
            </w:pPr>
            <w:r>
              <w:t xml:space="preserve">₪ 32,757</w:t>
            </w:r>
          </w:p>
        </w:tc>
        <w:tc>
          <w:tcPr/>
          <w:p>
            <w:pPr>
              <w:pStyle w:val="Compact"/>
              <w:jc w:val="left"/>
            </w:pPr>
            <w:r>
              <w:t xml:space="preserve">Upon delivery of design package</w:t>
            </w:r>
          </w:p>
        </w:tc>
      </w:tr>
      <w:tr>
        <w:tc>
          <w:tcPr/>
          <w:p>
            <w:pPr>
              <w:pStyle w:val="Compact"/>
              <w:jc w:val="left"/>
            </w:pPr>
            <w:r>
              <w:t xml:space="preserve">Upon completion of on-site inspections and IEC coordination</w:t>
            </w:r>
          </w:p>
        </w:tc>
        <w:tc>
          <w:tcPr/>
          <w:p>
            <w:pPr>
              <w:pStyle w:val="Compact"/>
              <w:jc w:val="left"/>
            </w:pPr>
            <w:r>
              <w:t xml:space="preserve">20%</w:t>
            </w:r>
          </w:p>
        </w:tc>
        <w:tc>
          <w:tcPr/>
          <w:p>
            <w:pPr>
              <w:pStyle w:val="Compact"/>
              <w:jc w:val="left"/>
            </w:pPr>
            <w:r>
              <w:t xml:space="preserve">₪ 16,378</w:t>
            </w:r>
          </w:p>
        </w:tc>
        <w:tc>
          <w:tcPr/>
          <w:p>
            <w:pPr>
              <w:pStyle w:val="Compact"/>
              <w:jc w:val="left"/>
            </w:pPr>
            <w:r>
              <w:t xml:space="preserve">Upon completion of 4th site visit</w:t>
            </w:r>
          </w:p>
        </w:tc>
      </w:tr>
      <w:tr>
        <w:tc>
          <w:tcPr/>
          <w:p>
            <w:pPr>
              <w:pStyle w:val="Compact"/>
              <w:jc w:val="left"/>
            </w:pPr>
            <w:r>
              <w:t xml:space="preserve">Upon issuance of final Electrical Engineer compliance certificate</w:t>
            </w:r>
          </w:p>
        </w:tc>
        <w:tc>
          <w:tcPr/>
          <w:p>
            <w:pPr>
              <w:pStyle w:val="Compact"/>
              <w:jc w:val="left"/>
            </w:pPr>
            <w:r>
              <w:t xml:space="preserve">10%</w:t>
            </w:r>
          </w:p>
        </w:tc>
        <w:tc>
          <w:tcPr/>
          <w:p>
            <w:pPr>
              <w:pStyle w:val="Compact"/>
              <w:jc w:val="left"/>
            </w:pPr>
            <w:r>
              <w:t xml:space="preserve">₪ 8,189</w:t>
            </w:r>
          </w:p>
        </w:tc>
        <w:tc>
          <w:tcPr/>
          <w:p>
            <w:pPr>
              <w:pStyle w:val="Compact"/>
              <w:jc w:val="left"/>
            </w:pPr>
            <w:r>
              <w:t xml:space="preserve">Within 5 business days of certificate issuance</w:t>
            </w:r>
          </w:p>
        </w:tc>
      </w:tr>
    </w:tbl>
    <w:p>
      <w:pPr>
        <w:pStyle w:val="BodyText"/>
      </w:pPr>
      <w:r>
        <w:t xml:space="preserve">5. Project Timeline</w:t>
      </w:r>
    </w:p>
    <w:p>
      <w:pPr>
        <w:pStyle w:val="BodyText"/>
      </w:pPr>
      <w:r>
        <w:t xml:space="preserve">The estimated duration for the</w:t>
      </w:r>
      <w:r>
        <w:t xml:space="preserve"> </w:t>
      </w:r>
      <w:r>
        <w:t xml:space="preserve">Electrical Engineer</w:t>
      </w:r>
      <w:r>
        <w:t xml:space="preserve"> </w:t>
      </w:r>
      <w:r>
        <w:t xml:space="preserve">to complete all deliverables under this</w:t>
      </w:r>
      <w:r>
        <w:t xml:space="preserve"> </w:t>
      </w:r>
      <w:r>
        <w:t xml:space="preserve">Quotation Estimate</w:t>
      </w:r>
      <w:r>
        <w:t xml:space="preserve"> </w:t>
      </w:r>
      <w:r>
        <w:t xml:space="preserve">is</w:t>
      </w:r>
      <w:r>
        <w:t xml:space="preserve"> </w:t>
      </w:r>
      <w:r>
        <w:rPr>
          <w:bCs/>
          <w:b/>
        </w:rPr>
        <w:t xml:space="preserve">10 to 12 weeks</w:t>
      </w:r>
      <w:r>
        <w:t xml:space="preserve"> </w:t>
      </w:r>
      <w:r>
        <w:t xml:space="preserve">from the date of project commencement, subject to timely municipal approvals by the Tel Aviv-Yafo Municipality and IEC connection scheduling. The timeline is specific to the project location in</w:t>
      </w:r>
      <w:r>
        <w:t xml:space="preserve"> </w:t>
      </w:r>
      <w:r>
        <w:t xml:space="preserve">Israel Tel Aviv</w:t>
      </w:r>
      <w:r>
        <w:t xml:space="preserve"> </w:t>
      </w:r>
      <w:r>
        <w:t xml:space="preserve">and accounts for standard municipal processing times in the Tel Aviv metropolitan area.</w:t>
      </w:r>
    </w:p>
    <w:p>
      <w:pPr>
        <w:pStyle w:val="BodyText"/>
      </w:pPr>
      <w:r>
        <w:t xml:space="preserve">6. Assumptions and Exclusions</w:t>
      </w:r>
    </w:p>
    <w:p>
      <w:pPr>
        <w:numPr>
          <w:ilvl w:val="0"/>
          <w:numId w:val="1002"/>
        </w:numPr>
        <w:pStyle w:val="Compact"/>
      </w:pPr>
      <w:r>
        <w:t xml:space="preserve">This</w:t>
      </w:r>
      <w:r>
        <w:t xml:space="preserve"> </w:t>
      </w:r>
      <w:r>
        <w:t xml:space="preserve">Quotation Estimate</w:t>
      </w:r>
      <w:r>
        <w:t xml:space="preserve"> </w:t>
      </w:r>
      <w:r>
        <w:t xml:space="preserve">covers professional engineering services only. The cost of physical electrical materials (cables, conduits, panels, fixtures) and labor for installation by licensed electricians is excluded and will be quoted separately by the client's chosen contractor.</w:t>
      </w:r>
    </w:p>
    <w:p>
      <w:pPr>
        <w:numPr>
          <w:ilvl w:val="0"/>
          <w:numId w:val="1002"/>
        </w:numPr>
        <w:pStyle w:val="Compact"/>
      </w:pPr>
      <w:r>
        <w:t xml:space="preserve">The estimate assumes the project site is accessible and that all necessary building permits have been or will be obtained by the client prior to the commencement of electrical design work.</w:t>
      </w:r>
    </w:p>
    <w:p>
      <w:pPr>
        <w:numPr>
          <w:ilvl w:val="0"/>
          <w:numId w:val="1002"/>
        </w:numPr>
        <w:pStyle w:val="Compact"/>
      </w:pPr>
      <w:r>
        <w:t xml:space="preserve">Any scope changes, additional design iterations beyond two (2) revision cycles, or emergency site visits outside the scheduled inspection dates will be billed at the</w:t>
      </w:r>
      <w:r>
        <w:t xml:space="preserve"> </w:t>
      </w:r>
      <w:r>
        <w:t xml:space="preserve">Electrical Engineer</w:t>
      </w:r>
      <w:r>
        <w:t xml:space="preserve">'s standard hourly rate of ₪ 1,200 per hour, plus applicable VAT.</w:t>
      </w:r>
    </w:p>
    <w:p>
      <w:pPr>
        <w:numPr>
          <w:ilvl w:val="0"/>
          <w:numId w:val="1002"/>
        </w:numPr>
        <w:pStyle w:val="Compact"/>
      </w:pPr>
      <w:r>
        <w:t xml:space="preserve">Prices are valid for 30 calendar days from the date of issue. After this period, this</w:t>
      </w:r>
      <w:r>
        <w:t xml:space="preserve"> </w:t>
      </w:r>
      <w:r>
        <w:t xml:space="preserve">Quotation Estimate</w:t>
      </w:r>
      <w:r>
        <w:t xml:space="preserve"> </w:t>
      </w:r>
      <w:r>
        <w:t xml:space="preserve">shall be considered expired and must be reissued.</w:t>
      </w:r>
    </w:p>
    <w:p>
      <w:pPr>
        <w:pStyle w:val="FirstParagraph"/>
      </w:pPr>
      <w:r>
        <w:t xml:space="preserve">7. Terms and Conditions</w:t>
      </w:r>
    </w:p>
    <w:p>
      <w:pPr>
        <w:numPr>
          <w:ilvl w:val="0"/>
          <w:numId w:val="1003"/>
        </w:numPr>
        <w:pStyle w:val="Compact"/>
      </w:pPr>
      <w:r>
        <w:t xml:space="preserve">This</w:t>
      </w:r>
      <w:r>
        <w:t xml:space="preserve"> </w:t>
      </w:r>
      <w:r>
        <w:t xml:space="preserve">Quotation Estimate</w:t>
      </w:r>
      <w:r>
        <w:t xml:space="preserve"> </w:t>
      </w:r>
      <w:r>
        <w:t xml:space="preserve">is a non-binding offer and does not constitute a contract until formally accepted in writing by both parties.</w:t>
      </w:r>
    </w:p>
    <w:p>
      <w:pPr>
        <w:numPr>
          <w:ilvl w:val="0"/>
          <w:numId w:val="1003"/>
        </w:numPr>
        <w:pStyle w:val="Compact"/>
      </w:pPr>
      <w:r>
        <w:t xml:space="preserve">All services shall be performed in strict accordance with the Israeli Electrical Code, SII standards, and the regulations of the Tel Aviv-Yafo Municipality Building Department.</w:t>
      </w:r>
    </w:p>
    <w:p>
      <w:pPr>
        <w:numPr>
          <w:ilvl w:val="0"/>
          <w:numId w:val="1003"/>
        </w:numPr>
        <w:pStyle w:val="Compact"/>
      </w:pPr>
      <w:r>
        <w:t xml:space="preserve">The</w:t>
      </w:r>
      <w:r>
        <w:t xml:space="preserve"> </w:t>
      </w:r>
      <w:r>
        <w:t xml:space="preserve">Electrical Engineer</w:t>
      </w:r>
      <w:r>
        <w:t xml:space="preserve"> </w:t>
      </w:r>
      <w:r>
        <w:t xml:space="preserve">shall maintain full professional liability insurance with a minimum coverage of ₪ 5,000,000 throughout the duration of the engagement.</w:t>
      </w:r>
    </w:p>
    <w:p>
      <w:pPr>
        <w:numPr>
          <w:ilvl w:val="0"/>
          <w:numId w:val="1003"/>
        </w:numPr>
        <w:pStyle w:val="Compact"/>
      </w:pPr>
      <w:r>
        <w:t xml:space="preserve">Disputes arising from this engagement shall be resolved in accordance with the laws of the State of Israel, with jurisdiction vested in the courts of Tel Aviv-Yafo.</w:t>
      </w:r>
    </w:p>
    <w:p>
      <w:pPr>
        <w:numPr>
          <w:ilvl w:val="0"/>
          <w:numId w:val="1003"/>
        </w:numPr>
        <w:pStyle w:val="Compact"/>
      </w:pPr>
      <w:r>
        <w:t xml:space="preserve">Confidentiality: All project documentation, site plans, and technical data shared in connection with this</w:t>
      </w:r>
      <w:r>
        <w:t xml:space="preserve"> </w:t>
      </w:r>
      <w:r>
        <w:t xml:space="preserve">Quotation Estimate</w:t>
      </w:r>
      <w:r>
        <w:t xml:space="preserve"> </w:t>
      </w:r>
      <w:r>
        <w:t xml:space="preserve">shall be treated as confidential and shall not be disclosed to third parties without written consent.</w:t>
      </w:r>
    </w:p>
    <w:p>
      <w:pPr>
        <w:numPr>
          <w:ilvl w:val="0"/>
          <w:numId w:val="1003"/>
        </w:numPr>
        <w:pStyle w:val="Compact"/>
      </w:pPr>
      <w:r>
        <w:t xml:space="preserve">Force Majeure: Neither party shall be liable for delays caused by events beyond reasonable control, including but not limited to natural disasters, government-mandated shutdowns, or civil unrest affecting the</w:t>
      </w:r>
      <w:r>
        <w:t xml:space="preserve"> </w:t>
      </w:r>
      <w:r>
        <w:t xml:space="preserve">Israel Tel Aviv</w:t>
      </w:r>
      <w:r>
        <w:t xml:space="preserve"> </w:t>
      </w:r>
      <w:r>
        <w:t xml:space="preserve">region.</w:t>
      </w:r>
    </w:p>
    <w:p>
      <w:pPr>
        <w:pStyle w:val="FirstParagraph"/>
      </w:pPr>
      <w:r>
        <w:t xml:space="preserve">8.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 engagement of the</w:t>
      </w:r>
      <w:r>
        <w:t xml:space="preserve"> </w:t>
      </w:r>
      <w:r>
        <w:t xml:space="preserve">Electrical Engineer</w:t>
      </w:r>
      <w:r>
        <w:t xml:space="preserve"> </w:t>
      </w:r>
      <w:r>
        <w:t xml:space="preserve">for the project located in</w:t>
      </w:r>
      <w:r>
        <w:t xml:space="preserve"> </w:t>
      </w:r>
      <w:r>
        <w:t xml:space="preserve">Israel Tel Aviv</w:t>
      </w:r>
      <w:r>
        <w:t xml:space="preserve">.</w:t>
      </w:r>
    </w:p>
    <w:p>
      <w:pPr>
        <w:pStyle w:val="BodyText"/>
      </w:pPr>
      <w:r>
        <w:rPr>
          <w:bCs/>
          <w:b/>
        </w:rPr>
        <w:t xml:space="preserve">For Meridian Electrical Engineering Ltd.</w:t>
      </w:r>
      <w:r>
        <w:br/>
      </w:r>
      <w:r>
        <w:t xml:space="preserve">Authorized Signatory</w:t>
      </w:r>
      <w:r>
        <w:br/>
      </w:r>
      <w:r>
        <w:t xml:space="preserve">Name: _________________________</w:t>
      </w:r>
      <w:r>
        <w:br/>
      </w:r>
      <w:r>
        <w:t xml:space="preserve">Title: Chief Electrical Engineer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Electrical Engineering Ltd. — 42 Dizengoff Street, Floor 7, Tel Aviv, Israel 6350000</w:t>
      </w:r>
      <w:r>
        <w:br/>
      </w:r>
      <w:r>
        <w:t xml:space="preserve">License No. EE-IL-2019-08834 | VAT No. 51-234-567-8 | Tel: +972-3-621-4488 | estimates@meridian-ee.co.il</w:t>
      </w:r>
      <w:r>
        <w:br/>
      </w:r>
      <w:r>
        <w:t xml:space="preserve">This Quotation Estimate is valid for 30 days from the date of issue. Document No. QTE-2025-TLV-0472.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Israel Tel Aviv</dc:title>
  <dc:creator/>
  <dc:language>en</dc:language>
  <cp:keywords/>
  <dcterms:created xsi:type="dcterms:W3CDTF">2026-10-10T02:11:05Z</dcterms:created>
  <dcterms:modified xsi:type="dcterms:W3CDTF">2026-10-10T02:11:05Z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