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Tokyo Precision Engineering Co., Ltd.</w:t>
      </w:r>
    </w:p>
    <w:p>
      <w:pPr>
        <w:pStyle w:val="BodyText"/>
      </w:pPr>
      <w:r>
        <w:t xml:space="preserve">14-2, Nishi-Shinjuku, Shinjuku-ku, Tokyo 160-0023, Japan</w:t>
      </w:r>
      <w:r>
        <w:br/>
      </w:r>
      <w:r>
        <w:t xml:space="preserve">Tel: +81-3-5287-4410 | Email: estimates@tokyoprecision-eng.jp</w:t>
      </w:r>
      <w:r>
        <w:br/>
      </w:r>
      <w:r>
        <w:t xml:space="preserve">Corporate Number: 4010001234567 | Registered in Tokyo, Japan</w:t>
      </w:r>
    </w:p>
    <w:bookmarkStart w:id="20" w:name="quotation-estimate"/>
    <w:p>
      <w:pPr>
        <w:pStyle w:val="Heading1"/>
      </w:pPr>
      <w:r>
        <w:t xml:space="preserve">Quotation Estimate</w:t>
      </w:r>
    </w:p>
    <w:p>
      <w:pPr>
        <w:pStyle w:val="FirstParagraph"/>
      </w:pPr>
      <w:r>
        <w:t xml:space="preserve">Professional Electrical Engineer Services</w:t>
      </w:r>
    </w:p>
    <w:bookmarkEnd w:id="20"/>
    <w:p>
      <w:pPr>
        <w:pStyle w:val="BodyText"/>
      </w:pPr>
      <w:r>
        <w:rPr>
          <w:bCs/>
          <w:b/>
        </w:rPr>
        <w:t xml:space="preserve">Quotation No.:</w:t>
      </w:r>
      <w:r>
        <w:t xml:space="preserve"> </w:t>
      </w:r>
      <w:r>
        <w:t xml:space="preserve">QTE-2025-TKY-0847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Japan Tokyo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Shinjuku Commercial Development Group K.K.</w:t>
            </w:r>
          </w:p>
        </w:tc>
      </w:tr>
      <w:tr>
        <w:tc>
          <w:tcPr/>
          <w:p>
            <w:pPr>
              <w:pStyle w:val="Compact"/>
              <w:jc w:val="left"/>
            </w:pPr>
            <w:r>
              <w:rPr>
                <w:bCs/>
                <w:b/>
              </w:rPr>
              <w:t xml:space="preserve">Address:</w:t>
            </w:r>
          </w:p>
        </w:tc>
        <w:tc>
          <w:tcPr/>
          <w:p>
            <w:pPr>
              <w:pStyle w:val="Compact"/>
              <w:jc w:val="left"/>
            </w:pPr>
            <w:r>
              <w:t xml:space="preserve">8-1, Nishi-Shinjuku, Shinjuku-ku, Tokyo 160-0023, Japan</w:t>
            </w:r>
          </w:p>
        </w:tc>
      </w:tr>
      <w:tr>
        <w:tc>
          <w:tcPr/>
          <w:p>
            <w:pPr>
              <w:pStyle w:val="Compact"/>
              <w:jc w:val="left"/>
            </w:pPr>
            <w:r>
              <w:rPr>
                <w:bCs/>
                <w:b/>
              </w:rPr>
              <w:t xml:space="preserve">Contact Person:</w:t>
            </w:r>
          </w:p>
        </w:tc>
        <w:tc>
          <w:tcPr/>
          <w:p>
            <w:pPr>
              <w:pStyle w:val="Compact"/>
              <w:jc w:val="left"/>
            </w:pPr>
            <w:r>
              <w:t xml:space="preserve">Mr. Kenji Tanaka, Project Director</w:t>
            </w:r>
          </w:p>
        </w:tc>
      </w:tr>
      <w:tr>
        <w:tc>
          <w:tcPr/>
          <w:p>
            <w:pPr>
              <w:pStyle w:val="Compact"/>
              <w:jc w:val="left"/>
            </w:pPr>
            <w:r>
              <w:rPr>
                <w:bCs/>
                <w:b/>
              </w:rPr>
              <w:t xml:space="preserve">Project Site:</w:t>
            </w:r>
          </w:p>
        </w:tc>
        <w:tc>
          <w:tcPr/>
          <w:p>
            <w:pPr>
              <w:pStyle w:val="Compact"/>
              <w:jc w:val="left"/>
            </w:pPr>
            <w:r>
              <w:t xml:space="preserve">Shinjuku Central Business District, Japan Tokyo</w:t>
            </w:r>
          </w:p>
        </w:tc>
      </w:tr>
    </w:tbl>
    <w:bookmarkEnd w:id="21"/>
    <w:bookmarkStart w:id="22" w:name="project-overview"/>
    <w:p>
      <w:pPr>
        <w:pStyle w:val="Heading2"/>
      </w:pPr>
      <w:r>
        <w:t xml:space="preserve">2. Project Overview</w:t>
      </w:r>
    </w:p>
    <w:p>
      <w:pPr>
        <w:pStyle w:val="FirstParagraph"/>
      </w:pPr>
      <w:r>
        <w:t xml:space="preserve">This</w:t>
      </w:r>
      <w:r>
        <w:t xml:space="preserve"> </w:t>
      </w:r>
      <w:r>
        <w:t xml:space="preserve">Quotation Estimate</w:t>
      </w:r>
      <w:r>
        <w:t xml:space="preserve"> </w:t>
      </w:r>
      <w:r>
        <w:t xml:space="preserve">is prepared by Tokyo Precision Engineering Co., Ltd. in response to the formal request from Shinjuku Commercial Development Group K.K. for comprehensive</w:t>
      </w:r>
      <w:r>
        <w:t xml:space="preserve"> </w:t>
      </w:r>
      <w:r>
        <w:t xml:space="preserve">Electrical Engineer</w:t>
      </w:r>
      <w:r>
        <w:t xml:space="preserve"> </w:t>
      </w:r>
      <w:r>
        <w:t xml:space="preserve">consulting and implementation services. The project is situated in the heart of</w:t>
      </w:r>
      <w:r>
        <w:t xml:space="preserve"> </w:t>
      </w:r>
      <w:r>
        <w:t xml:space="preserve">Japan Tokyo</w:t>
      </w:r>
      <w:r>
        <w:t xml:space="preserve">, specifically within the Shinjuku Central Business District, and involves the complete electrical infrastructure design, installation oversight, and compliance verification for a 28-story commercial and residential mixed-use tower.</w:t>
      </w:r>
    </w:p>
    <w:p>
      <w:pPr>
        <w:pStyle w:val="BodyText"/>
      </w:pPr>
      <w:r>
        <w:t xml:space="preserve">As a licensed</w:t>
      </w:r>
      <w:r>
        <w:t xml:space="preserve"> </w:t>
      </w:r>
      <w:r>
        <w:t xml:space="preserve">Electrical Engineer</w:t>
      </w:r>
      <w:r>
        <w:t xml:space="preserve"> </w:t>
      </w:r>
      <w:r>
        <w:t xml:space="preserve">firm registered under the Japan Electrical Engineers Association (JEEA) and fully compliant with the Japanese Electrical Work Act (Denki Senyuu Hou), our team brings over fifteen years of specialized experience delivering critical electrical systems for high-rise developments across</w:t>
      </w:r>
      <w:r>
        <w:t xml:space="preserve"> </w:t>
      </w:r>
      <w:r>
        <w:t xml:space="preserve">Japan Tokyo</w:t>
      </w:r>
      <w:r>
        <w:t xml:space="preserve">. This</w:t>
      </w:r>
      <w:r>
        <w:t xml:space="preserve"> </w:t>
      </w:r>
      <w:r>
        <w:t xml:space="preserve">Quotation Estimate</w:t>
      </w:r>
      <w:r>
        <w:t xml:space="preserve"> </w:t>
      </w:r>
      <w:r>
        <w:t xml:space="preserve">reflects our commitment to providing transparent, itemized pricing for all professional services rendered.</w:t>
      </w:r>
    </w:p>
    <w:bookmarkEnd w:id="22"/>
    <w:bookmarkStart w:id="23" w:name="scope-of-work"/>
    <w:p>
      <w:pPr>
        <w:pStyle w:val="Heading2"/>
      </w:pPr>
      <w:r>
        <w:t xml:space="preserve">3. Scope of Work</w:t>
      </w:r>
    </w:p>
    <w:p>
      <w:pPr>
        <w:pStyle w:val="FirstParagraph"/>
      </w:pPr>
      <w:r>
        <w:t xml:space="preserve">The</w:t>
      </w:r>
      <w:r>
        <w:t xml:space="preserve"> </w:t>
      </w:r>
      <w:r>
        <w:t xml:space="preserve">Electrical Engineer</w:t>
      </w:r>
      <w:r>
        <w:t xml:space="preserve"> </w:t>
      </w:r>
      <w:r>
        <w:t xml:space="preserve">services covered under this</w:t>
      </w:r>
      <w:r>
        <w:t xml:space="preserve"> </w:t>
      </w:r>
      <w:r>
        <w:t xml:space="preserve">Quotation Estimate</w:t>
      </w:r>
      <w:r>
        <w:t xml:space="preserve"> </w:t>
      </w:r>
      <w:r>
        <w:t xml:space="preserve">include, but are not limited to, the following deliverables for the project located in</w:t>
      </w:r>
      <w:r>
        <w:t xml:space="preserve"> </w:t>
      </w:r>
      <w:r>
        <w:t xml:space="preserve">Japan Tokyo</w:t>
      </w:r>
      <w:r>
        <w:t xml:space="preserve">:</w:t>
      </w:r>
    </w:p>
    <w:p>
      <w:pPr>
        <w:numPr>
          <w:ilvl w:val="0"/>
          <w:numId w:val="1001"/>
        </w:numPr>
        <w:pStyle w:val="Compact"/>
      </w:pPr>
      <w:r>
        <w:t xml:space="preserve">Complete electrical load calculations and power distribution system design for all 28 floors</w:t>
      </w:r>
    </w:p>
    <w:p>
      <w:pPr>
        <w:numPr>
          <w:ilvl w:val="0"/>
          <w:numId w:val="1001"/>
        </w:numPr>
        <w:pStyle w:val="Compact"/>
      </w:pPr>
      <w:r>
        <w:t xml:space="preserve">Design of main and sub-distribution panels, transformer stations, and backup generator systems</w:t>
      </w:r>
    </w:p>
    <w:p>
      <w:pPr>
        <w:numPr>
          <w:ilvl w:val="0"/>
          <w:numId w:val="1001"/>
        </w:numPr>
        <w:pStyle w:val="Compact"/>
      </w:pPr>
      <w:r>
        <w:t xml:space="preserve">Lighting design compliant with Japanese Building Standards Act (Kenchiku Kijun Hou)</w:t>
      </w:r>
    </w:p>
    <w:p>
      <w:pPr>
        <w:numPr>
          <w:ilvl w:val="0"/>
          <w:numId w:val="1001"/>
        </w:numPr>
        <w:pStyle w:val="Compact"/>
      </w:pPr>
      <w:r>
        <w:t xml:space="preserve">Fire alarm and emergency lighting system design per Tokyo Metropolitan Fire Department regulations</w:t>
      </w:r>
    </w:p>
    <w:p>
      <w:pPr>
        <w:numPr>
          <w:ilvl w:val="0"/>
          <w:numId w:val="1001"/>
        </w:numPr>
        <w:pStyle w:val="Compact"/>
      </w:pPr>
      <w:r>
        <w:t xml:space="preserve">Low-voltage systems design including structured cabling, security, and building automation</w:t>
      </w:r>
    </w:p>
    <w:p>
      <w:pPr>
        <w:numPr>
          <w:ilvl w:val="0"/>
          <w:numId w:val="1001"/>
        </w:numPr>
        <w:pStyle w:val="Compact"/>
      </w:pPr>
      <w:r>
        <w:t xml:space="preserve">Coordination with Tokyo Electric Power Company (TEPCO) for grid connection approval</w:t>
      </w:r>
    </w:p>
    <w:p>
      <w:pPr>
        <w:numPr>
          <w:ilvl w:val="0"/>
          <w:numId w:val="1001"/>
        </w:numPr>
        <w:pStyle w:val="Compact"/>
      </w:pPr>
      <w:r>
        <w:t xml:space="preserve">On-site supervision and quality assurance during installation phases</w:t>
      </w:r>
    </w:p>
    <w:p>
      <w:pPr>
        <w:numPr>
          <w:ilvl w:val="0"/>
          <w:numId w:val="1001"/>
        </w:numPr>
        <w:pStyle w:val="Compact"/>
      </w:pPr>
      <w:r>
        <w:t xml:space="preserve">Final inspection, commissioning, and as-built documentation preparation</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left"/>
            </w:pPr>
            <w:r>
              <w:t xml:space="preserve">Duration</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Initial site survey and feasibility assessment in Japan Tokyo</w:t>
            </w:r>
          </w:p>
        </w:tc>
        <w:tc>
          <w:tcPr/>
          <w:p>
            <w:pPr>
              <w:pStyle w:val="Compact"/>
              <w:jc w:val="left"/>
            </w:pPr>
            <w:r>
              <w:t xml:space="preserve">2 weeks</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Conceptual electrical design and load analysis</w:t>
            </w:r>
          </w:p>
        </w:tc>
        <w:tc>
          <w:tcPr/>
          <w:p>
            <w:pPr>
              <w:pStyle w:val="Compact"/>
              <w:jc w:val="left"/>
            </w:pPr>
            <w:r>
              <w:t xml:space="preserve">4 weeks</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Detailed design drawings and specifications (power, lighting, LV systems)</w:t>
            </w:r>
          </w:p>
        </w:tc>
        <w:tc>
          <w:tcPr/>
          <w:p>
            <w:pPr>
              <w:pStyle w:val="Compact"/>
              <w:jc w:val="left"/>
            </w:pPr>
            <w:r>
              <w:t xml:space="preserve">8 weeks</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Regulatory compliance review and JEEA certification filing</w:t>
            </w:r>
          </w:p>
        </w:tc>
        <w:tc>
          <w:tcPr/>
          <w:p>
            <w:pPr>
              <w:pStyle w:val="Compact"/>
              <w:jc w:val="left"/>
            </w:pPr>
            <w:r>
              <w:t xml:space="preserve">3 weeks</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TEPCO grid connection application and coordination</w:t>
            </w:r>
          </w:p>
        </w:tc>
        <w:tc>
          <w:tcPr/>
          <w:p>
            <w:pPr>
              <w:pStyle w:val="Compact"/>
              <w:jc w:val="left"/>
            </w:pPr>
            <w:r>
              <w:t xml:space="preserve">6 weeks</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On-site installation supervision (Electrical Engineer resident)</w:t>
            </w:r>
          </w:p>
        </w:tc>
        <w:tc>
          <w:tcPr/>
          <w:p>
            <w:pPr>
              <w:pStyle w:val="Compact"/>
              <w:jc w:val="left"/>
            </w:pPr>
            <w:r>
              <w:t xml:space="preserve">16 weeks</w:t>
            </w:r>
          </w:p>
        </w:tc>
        <w:tc>
          <w:tcPr/>
          <w:p>
            <w:pPr>
              <w:pStyle w:val="Compact"/>
              <w:jc w:val="left"/>
            </w:pPr>
            <w:r>
              <w:t xml:space="preserve">6,400,000</w:t>
            </w:r>
          </w:p>
        </w:tc>
      </w:tr>
      <w:tr>
        <w:tc>
          <w:tcPr/>
          <w:p>
            <w:pPr>
              <w:pStyle w:val="Compact"/>
              <w:jc w:val="left"/>
            </w:pPr>
            <w:r>
              <w:t xml:space="preserve">07</w:t>
            </w:r>
          </w:p>
        </w:tc>
        <w:tc>
          <w:tcPr/>
          <w:p>
            <w:pPr>
              <w:pStyle w:val="Compact"/>
              <w:jc w:val="left"/>
            </w:pPr>
            <w:r>
              <w:t xml:space="preserve">System commissioning, testing, and final inspection</w:t>
            </w:r>
          </w:p>
        </w:tc>
        <w:tc>
          <w:tcPr/>
          <w:p>
            <w:pPr>
              <w:pStyle w:val="Compact"/>
              <w:jc w:val="left"/>
            </w:pPr>
            <w:r>
              <w:t xml:space="preserve">4 weeks</w:t>
            </w:r>
          </w:p>
        </w:tc>
        <w:tc>
          <w:tcPr/>
          <w:p>
            <w:pPr>
              <w:pStyle w:val="Compact"/>
              <w:jc w:val="left"/>
            </w:pPr>
            <w:r>
              <w:t xml:space="preserve">1,350,000</w:t>
            </w:r>
          </w:p>
        </w:tc>
      </w:tr>
      <w:tr>
        <w:tc>
          <w:tcPr/>
          <w:p>
            <w:pPr>
              <w:pStyle w:val="Compact"/>
              <w:jc w:val="left"/>
            </w:pPr>
            <w:r>
              <w:t xml:space="preserve">08</w:t>
            </w:r>
          </w:p>
        </w:tc>
        <w:tc>
          <w:tcPr/>
          <w:p>
            <w:pPr>
              <w:pStyle w:val="Compact"/>
              <w:jc w:val="left"/>
            </w:pPr>
            <w:r>
              <w:t xml:space="preserve">As-built documentation and handover package</w:t>
            </w:r>
          </w:p>
        </w:tc>
        <w:tc>
          <w:tcPr/>
          <w:p>
            <w:pPr>
              <w:pStyle w:val="Compact"/>
              <w:jc w:val="left"/>
            </w:pPr>
            <w:r>
              <w:t xml:space="preserve">2 weeks</w:t>
            </w:r>
          </w:p>
        </w:tc>
        <w:tc>
          <w:tcPr/>
          <w:p>
            <w:pPr>
              <w:pStyle w:val="Compact"/>
              <w:jc w:val="left"/>
            </w:pPr>
            <w:r>
              <w:t xml:space="preserve">420,000</w:t>
            </w:r>
          </w:p>
        </w:tc>
      </w:tr>
      <w:tr>
        <w:tc>
          <w:tcPr>
            <w:gridSpan w:val="3"/>
          </w:tcPr>
          <w:p>
            <w:pPr>
              <w:pStyle w:val="Compact"/>
              <w:jc w:val="left"/>
            </w:pPr>
            <w:r>
              <w:t xml:space="preserve">Subtotal (Professional Services)</w:t>
            </w:r>
          </w:p>
        </w:tc>
        <w:tc>
          <w:tcPr/>
          <w:p>
            <w:pPr>
              <w:pStyle w:val="Compact"/>
              <w:jc w:val="left"/>
            </w:pPr>
            <w:r>
              <w:t xml:space="preserve">16,370,000</w:t>
            </w:r>
          </w:p>
        </w:tc>
      </w:tr>
      <w:tr>
        <w:tc>
          <w:tcPr>
            <w:gridSpan w:val="3"/>
          </w:tcPr>
          <w:p>
            <w:pPr>
              <w:pStyle w:val="Compact"/>
              <w:jc w:val="left"/>
            </w:pPr>
            <w:r>
              <w:t xml:space="preserve">Consumable materials, travel within Japan Tokyo, and administrative fees</w:t>
            </w:r>
          </w:p>
        </w:tc>
        <w:tc>
          <w:tcPr/>
          <w:p>
            <w:pPr>
              <w:pStyle w:val="Compact"/>
              <w:jc w:val="left"/>
            </w:pPr>
            <w:r>
              <w:t xml:space="preserve">1,120,000</w:t>
            </w:r>
          </w:p>
        </w:tc>
      </w:tr>
      <w:tr>
        <w:tc>
          <w:tcPr>
            <w:gridSpan w:val="3"/>
          </w:tcPr>
          <w:p>
            <w:pPr>
              <w:pStyle w:val="Compact"/>
              <w:jc w:val="left"/>
            </w:pPr>
            <w:r>
              <w:t xml:space="preserve">Grand Total (before tax)</w:t>
            </w:r>
          </w:p>
        </w:tc>
        <w:tc>
          <w:tcPr/>
          <w:p>
            <w:pPr>
              <w:pStyle w:val="Compact"/>
              <w:jc w:val="left"/>
            </w:pPr>
            <w:r>
              <w:t xml:space="preserve">17,490,000</w:t>
            </w:r>
          </w:p>
        </w:tc>
      </w:tr>
      <w:tr>
        <w:tc>
          <w:tcPr>
            <w:gridSpan w:val="3"/>
          </w:tcPr>
          <w:p>
            <w:pPr>
              <w:pStyle w:val="Compact"/>
              <w:jc w:val="left"/>
            </w:pPr>
            <w:r>
              <w:t xml:space="preserve">Consumption Tax (10% per Japanese tax law)</w:t>
            </w:r>
          </w:p>
        </w:tc>
        <w:tc>
          <w:tcPr/>
          <w:p>
            <w:pPr>
              <w:pStyle w:val="Compact"/>
              <w:jc w:val="left"/>
            </w:pPr>
            <w:r>
              <w:t xml:space="preserve">1,749,000</w:t>
            </w:r>
          </w:p>
        </w:tc>
      </w:tr>
      <w:tr>
        <w:tc>
          <w:tcPr>
            <w:gridSpan w:val="3"/>
          </w:tcPr>
          <w:p>
            <w:pPr>
              <w:pStyle w:val="Compact"/>
              <w:jc w:val="left"/>
            </w:pPr>
            <w:r>
              <w:t xml:space="preserve">TOTAL AMOUNT DUE (JPY)</w:t>
            </w:r>
          </w:p>
        </w:tc>
        <w:tc>
          <w:tcPr/>
          <w:p>
            <w:pPr>
              <w:pStyle w:val="Compact"/>
              <w:jc w:val="left"/>
            </w:pPr>
            <w:r>
              <w:t xml:space="preserve">19,239,000</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made in three installments: 30% upon contract execution, 40% upon completion of detailed design approval, and 30% upon final commissioning and handover. All payments shall be made in Japanese Yen (JPY) via bank transfer to the account designated by Tokyo Precision Engineering Co., Ltd. in</w:t>
      </w:r>
      <w:r>
        <w:t xml:space="preserve"> </w:t>
      </w:r>
      <w:r>
        <w:t xml:space="preserve">Japan Tokyo</w:t>
      </w:r>
      <w:r>
        <w:t xml:space="preserve">.</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material cost fluctuations or changes in Japanese regulatory requirements.</w:t>
      </w:r>
    </w:p>
    <w:p>
      <w:pPr>
        <w:numPr>
          <w:ilvl w:val="0"/>
          <w:numId w:val="1002"/>
        </w:numPr>
        <w:pStyle w:val="Compact"/>
      </w:pPr>
      <w:r>
        <w:t xml:space="preserve">All</w:t>
      </w:r>
      <w:r>
        <w:t xml:space="preserve"> </w:t>
      </w:r>
      <w:r>
        <w:t xml:space="preserve">Electrical Engineer</w:t>
      </w:r>
      <w:r>
        <w:t xml:space="preserve"> </w:t>
      </w:r>
      <w:r>
        <w:t xml:space="preserve">services shall be performed in strict accordance with the Japanese Electrical Work Act, the Building Standards Act, and applicable Tokyo Metropolitan government ordinances.</w:t>
      </w:r>
    </w:p>
    <w:p>
      <w:pPr>
        <w:numPr>
          <w:ilvl w:val="0"/>
          <w:numId w:val="1002"/>
        </w:numPr>
        <w:pStyle w:val="Compact"/>
      </w:pPr>
      <w:r>
        <w:t xml:space="preserve">The project timeline assumes standard working conditions in</w:t>
      </w:r>
      <w:r>
        <w:t xml:space="preserve"> </w:t>
      </w:r>
      <w:r>
        <w:t xml:space="preserve">Japan Tokyo</w:t>
      </w:r>
      <w:r>
        <w:t xml:space="preserve">. Delays caused by force majeure, natural disasters (including typhoons common to the Tokyo region), or client-directed changes shall be addressed via a formal change order.</w:t>
      </w:r>
    </w:p>
    <w:p>
      <w:pPr>
        <w:numPr>
          <w:ilvl w:val="0"/>
          <w:numId w:val="1002"/>
        </w:numPr>
        <w:pStyle w:val="Compact"/>
      </w:pPr>
      <w:r>
        <w:t xml:space="preserve">Our</w:t>
      </w:r>
      <w:r>
        <w:t xml:space="preserve"> </w:t>
      </w:r>
      <w:r>
        <w:t xml:space="preserve">Electrical Engineer</w:t>
      </w:r>
      <w:r>
        <w:t xml:space="preserve"> </w:t>
      </w:r>
      <w:r>
        <w:t xml:space="preserve">team shall maintain full professional liability insurance coverage throughout the project duration, with a minimum coverage of 500,000,000 JPY.</w:t>
      </w:r>
    </w:p>
    <w:p>
      <w:pPr>
        <w:numPr>
          <w:ilvl w:val="0"/>
          <w:numId w:val="1002"/>
        </w:numPr>
        <w:pStyle w:val="Compact"/>
      </w:pPr>
      <w:r>
        <w:t xml:space="preserve">All intellectual property, design drawings, and technical documentation produced under this engagement shall become the property of the client upon full payment.</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arbitration under the rules of the Japan Commercial Arbitration Association (JCAA) in Tokyo.</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w:t>
      </w:r>
      <w:r>
        <w:t xml:space="preserve"> </w:t>
      </w:r>
      <w:r>
        <w:t xml:space="preserve">Electrical Engineer</w:t>
      </w:r>
      <w:r>
        <w:t xml:space="preserve"> </w:t>
      </w:r>
      <w:r>
        <w:t xml:space="preserve">services to be delivered in</w:t>
      </w:r>
      <w:r>
        <w:t xml:space="preserve"> </w:t>
      </w:r>
      <w:r>
        <w:t xml:space="preserve">Japan Tokyo</w:t>
      </w:r>
      <w:r>
        <w:t xml:space="preserve">. This document, once countersigned by both parties, shall constitute a binding service agreement.</w:t>
      </w:r>
    </w:p>
    <w:p>
      <w:pPr>
        <w:pStyle w:val="BodyText"/>
      </w:pPr>
      <w:r>
        <w:rPr>
          <w:bCs/>
          <w:b/>
        </w:rPr>
        <w:t xml:space="preserve">For Tokyo Precision Engineering Co., Ltd.</w:t>
      </w:r>
      <w:r>
        <w:br/>
      </w:r>
      <w:r>
        <w:t xml:space="preserve">Name: Dr. Hiroshi Yamamoto, P.Eng.</w:t>
      </w:r>
      <w:r>
        <w:br/>
      </w:r>
      <w:r>
        <w:t xml:space="preserve">Title: Chief Electrical Engineer</w:t>
      </w:r>
      <w:r>
        <w:br/>
      </w:r>
      <w:r>
        <w:t xml:space="preserve">Date: _________________________</w:t>
      </w:r>
    </w:p>
    <w:p>
      <w:pPr>
        <w:pStyle w:val="BodyText"/>
      </w:pPr>
      <w:r>
        <w:rPr>
          <w:bCs/>
          <w:b/>
        </w:rPr>
        <w:t xml:space="preserve">For Shinjuku Commercial Development Group K.K.</w:t>
      </w:r>
      <w:r>
        <w:br/>
      </w:r>
      <w:r>
        <w:t xml:space="preserve">Name: Mr. Kenji Tanaka</w:t>
      </w:r>
      <w:r>
        <w:br/>
      </w:r>
      <w:r>
        <w:t xml:space="preserve">Title: Project Director</w:t>
      </w:r>
      <w:r>
        <w:br/>
      </w:r>
      <w:r>
        <w:t xml:space="preserve">Date: _________________________</w:t>
      </w:r>
    </w:p>
    <w:p>
      <w:pPr>
        <w:pStyle w:val="BodyText"/>
      </w:pPr>
      <w:r>
        <w:t xml:space="preserve">This Quotation Estimate (QTE-2025-TKY-0847) is issued by Tokyo Precision Engineering Co., Ltd., a licensed Electrical Engineer firm operating in Japan Tokyo.</w:t>
      </w:r>
      <w:r>
        <w:br/>
      </w:r>
      <w:r>
        <w:t xml:space="preserve">JEEA Registration No. TKY-EE-2011-00342 | Tokyo Metropolitan Government Construction Industry Registration No. 13-3010-XXXXX</w:t>
      </w:r>
      <w:r>
        <w:br/>
      </w:r>
      <w:r>
        <w:t xml:space="preserve">© 2025 Tokyo Precision Engineering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Japan Tokyo</dc:title>
  <dc:creator/>
  <dc:language>en</dc:language>
  <cp:keywords/>
  <dcterms:created xsi:type="dcterms:W3CDTF">2026-10-10T04:31:49Z</dcterms:created>
  <dcterms:modified xsi:type="dcterms:W3CDTF">2026-10-10T04:31:49Z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