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quotation-estimate"/>
    <w:p>
      <w:pPr>
        <w:pStyle w:val="Heading1"/>
      </w:pPr>
      <w:r>
        <w:t xml:space="preserve">Quotation Estimate</w:t>
      </w:r>
    </w:p>
    <w:p>
      <w:pPr>
        <w:pStyle w:val="FirstParagraph"/>
      </w:pPr>
      <w:r>
        <w:rPr>
          <w:bCs/>
          <w:b/>
        </w:rPr>
        <w:t xml:space="preserve">Kenya Power Solutions &amp; Engineering Ltd.</w:t>
      </w:r>
    </w:p>
    <w:p>
      <w:pPr>
        <w:pStyle w:val="BodyText"/>
      </w:pPr>
      <w:r>
        <w:t xml:space="preserve">P.O. Box 4521, Westlands, Kenya Nairobi</w:t>
      </w:r>
    </w:p>
    <w:p>
      <w:pPr>
        <w:pStyle w:val="BodyText"/>
      </w:pPr>
      <w:r>
        <w:t xml:space="preserve">Tel: +254 700 123 456 | Email: info@kenyapowersolutions.co.ke</w:t>
      </w:r>
    </w:p>
    <w:p>
      <w:pPr>
        <w:pStyle w:val="BodyText"/>
      </w:pPr>
      <w:r>
        <w:t xml:space="preserve">Physical Address: 3rd Floor, Equity Tower, Moi Avenue, Kenya Nairobi</w:t>
      </w:r>
    </w:p>
    <w:bookmarkEnd w:id="20"/>
    <w:p>
      <w:pPr>
        <w:pStyle w:val="BodyText"/>
      </w:pPr>
      <w:r>
        <w:rPr>
          <w:bCs/>
          <w:b/>
        </w:rPr>
        <w:t xml:space="preserve">Quotation No.:</w:t>
      </w:r>
      <w:r>
        <w:t xml:space="preserve"> </w:t>
      </w:r>
      <w:r>
        <w:t xml:space="preserve">KPS/QE/2025/00847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Prepared By:</w:t>
      </w:r>
      <w:r>
        <w:t xml:space="preserve"> </w:t>
      </w:r>
      <w:r>
        <w:t xml:space="preserve">Eng. David Mwangi, MIEK</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Greenfield Commercial Developments Ltd.</w:t>
            </w:r>
          </w:p>
        </w:tc>
        <w:tc>
          <w:tcPr/>
          <w:p>
            <w:pPr>
              <w:pStyle w:val="Compact"/>
              <w:jc w:val="left"/>
            </w:pPr>
            <w:r>
              <w:rPr>
                <w:bCs/>
                <w:b/>
              </w:rPr>
              <w:t xml:space="preserve">Project Location:</w:t>
            </w:r>
            <w:r>
              <w:t xml:space="preserve"> </w:t>
            </w:r>
            <w:r>
              <w:t xml:space="preserve">Kilimani Business Park, Kenya Nairobi</w:t>
            </w:r>
          </w:p>
        </w:tc>
      </w:tr>
      <w:tr>
        <w:tc>
          <w:tcPr/>
          <w:p>
            <w:pPr>
              <w:pStyle w:val="Compact"/>
              <w:jc w:val="left"/>
            </w:pPr>
            <w:r>
              <w:rPr>
                <w:bCs/>
                <w:b/>
              </w:rPr>
              <w:t xml:space="preserve">Contact Person:</w:t>
            </w:r>
            <w:r>
              <w:t xml:space="preserve"> </w:t>
            </w:r>
            <w:r>
              <w:t xml:space="preserve">Ms. Wanjiru Kamau</w:t>
            </w:r>
          </w:p>
        </w:tc>
        <w:tc>
          <w:tcPr/>
          <w:p>
            <w:pPr>
              <w:pStyle w:val="Compact"/>
              <w:jc w:val="left"/>
            </w:pPr>
            <w:r>
              <w:rPr>
                <w:bCs/>
                <w:b/>
              </w:rPr>
              <w:t xml:space="preserve">Client Reference:</w:t>
            </w:r>
            <w:r>
              <w:t xml:space="preserve"> </w:t>
            </w:r>
            <w:r>
              <w:t xml:space="preserve">GCD/PROJ/2025/112</w:t>
            </w:r>
          </w:p>
        </w:tc>
      </w:tr>
      <w:tr>
        <w:tc>
          <w:tcPr/>
          <w:p>
            <w:pPr>
              <w:pStyle w:val="Compact"/>
              <w:jc w:val="left"/>
            </w:pPr>
            <w:r>
              <w:rPr>
                <w:bCs/>
                <w:b/>
              </w:rPr>
              <w:t xml:space="preserve">Client Address:</w:t>
            </w:r>
            <w:r>
              <w:t xml:space="preserve"> </w:t>
            </w:r>
            <w:r>
              <w:t xml:space="preserve">12th Floor, The Oval, Upper Hill, Kenya Nairobi</w:t>
            </w:r>
          </w:p>
        </w:tc>
        <w:tc>
          <w:tcPr/>
          <w:p>
            <w:pPr>
              <w:pStyle w:val="Compact"/>
              <w:jc w:val="left"/>
            </w:pPr>
            <w:r>
              <w:rPr>
                <w:bCs/>
                <w:b/>
              </w:rPr>
              <w:t xml:space="preserve">Phone:</w:t>
            </w:r>
            <w:r>
              <w:t xml:space="preserve"> </w:t>
            </w:r>
            <w:r>
              <w:t xml:space="preserve">+254 722 987 654</w:t>
            </w:r>
          </w:p>
        </w:tc>
      </w:tr>
    </w:tbl>
    <w:p>
      <w:pPr>
        <w:pStyle w:val="BodyText"/>
      </w:pPr>
      <w:r>
        <w:t xml:space="preserve">2. Scope of Work – Electrical Engineer Services</w:t>
      </w:r>
    </w:p>
    <w:p>
      <w:pPr>
        <w:pStyle w:val="BodyText"/>
      </w:pPr>
      <w:r>
        <w:t xml:space="preserve">This</w:t>
      </w:r>
      <w:r>
        <w:t xml:space="preserve"> </w:t>
      </w:r>
      <w:r>
        <w:t xml:space="preserve">Quotation Estimate</w:t>
      </w:r>
      <w:r>
        <w:t xml:space="preserve"> </w:t>
      </w:r>
      <w:r>
        <w:t xml:space="preserve">is issued by Kenya Power Solutions &amp; Engineering Ltd. to provide the services of a qualified</w:t>
      </w:r>
      <w:r>
        <w:t xml:space="preserve"> </w:t>
      </w:r>
      <w:r>
        <w:t xml:space="preserve">Electrical Engineer</w:t>
      </w:r>
      <w:r>
        <w:t xml:space="preserve"> </w:t>
      </w:r>
      <w:r>
        <w:t xml:space="preserve">for the design, supervision, and commissioning of the electrical infrastructure at the Kilimani Business Park development project located in</w:t>
      </w:r>
      <w:r>
        <w:t xml:space="preserve"> </w:t>
      </w:r>
      <w:r>
        <w:t xml:space="preserve">Kenya Nairobi</w:t>
      </w:r>
      <w:r>
        <w:t xml:space="preserve">. The</w:t>
      </w:r>
      <w:r>
        <w:t xml:space="preserve"> </w:t>
      </w:r>
      <w:r>
        <w:t xml:space="preserve">Electrical Engineer</w:t>
      </w:r>
      <w:r>
        <w:t xml:space="preserve"> </w:t>
      </w:r>
      <w:r>
        <w:t xml:space="preserve">engaged under this quotation shall hold a valid licence from the Engineering Board of Kenya (EBK) and be a registered member of the Institution of Engineers of Kenya (IEK). All work shall comply with the Kenya Electricity Act, the National Electrical Code of Kenya, and all applicable regulations enforced by the Energy and Petroleum Regulatory Authority (EPRA) within the Kenya Nairobi metropolitan area.</w:t>
      </w:r>
    </w:p>
    <w:p>
      <w:pPr>
        <w:pStyle w:val="BodyText"/>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(KES)</w:t>
            </w:r>
          </w:p>
        </w:tc>
        <w:tc>
          <w:tcPr/>
          <w:p>
            <w:pPr>
              <w:pStyle w:val="Compact"/>
              <w:jc w:val="left"/>
            </w:pPr>
            <w:r>
              <w:t xml:space="preserve">Amount (KES)</w:t>
            </w:r>
          </w:p>
        </w:tc>
      </w:tr>
      <w:tr>
        <w:tc>
          <w:tcPr/>
          <w:p>
            <w:pPr>
              <w:pStyle w:val="Compact"/>
              <w:jc w:val="left"/>
            </w:pPr>
            <w:r>
              <w:t xml:space="preserve">1</w:t>
            </w:r>
          </w:p>
        </w:tc>
        <w:tc>
          <w:tcPr/>
          <w:p>
            <w:pPr>
              <w:pStyle w:val="Compact"/>
              <w:jc w:val="left"/>
            </w:pPr>
            <w:r>
              <w:t xml:space="preserve">Site survey and load assessment by a senior Electrical Engineer at the Kenya Nairobi project site</w:t>
            </w:r>
          </w:p>
        </w:tc>
        <w:tc>
          <w:tcPr/>
          <w:p>
            <w:pPr>
              <w:pStyle w:val="Compact"/>
              <w:jc w:val="left"/>
            </w:pPr>
            <w:r>
              <w:t xml:space="preserve">3 days</w:t>
            </w:r>
          </w:p>
        </w:tc>
        <w:tc>
          <w:tcPr/>
          <w:p>
            <w:pPr>
              <w:pStyle w:val="Compact"/>
              <w:jc w:val="left"/>
            </w:pPr>
            <w:r>
              <w:t xml:space="preserve">25,000</w:t>
            </w:r>
          </w:p>
        </w:tc>
        <w:tc>
          <w:tcPr/>
          <w:p>
            <w:pPr>
              <w:pStyle w:val="Compact"/>
              <w:jc w:val="left"/>
            </w:pPr>
            <w:r>
              <w:t xml:space="preserve">75,000</w:t>
            </w:r>
          </w:p>
        </w:tc>
      </w:tr>
      <w:tr>
        <w:tc>
          <w:tcPr/>
          <w:p>
            <w:pPr>
              <w:pStyle w:val="Compact"/>
              <w:jc w:val="left"/>
            </w:pPr>
            <w:r>
              <w:t xml:space="preserve">2</w:t>
            </w:r>
          </w:p>
        </w:tc>
        <w:tc>
          <w:tcPr/>
          <w:p>
            <w:pPr>
              <w:pStyle w:val="Compact"/>
              <w:jc w:val="left"/>
            </w:pPr>
            <w:r>
              <w:t xml:space="preserve">Preparation of single-line diagrams, load schedules, and electrical layout drawings for the 6-storey commercial building</w:t>
            </w:r>
          </w:p>
        </w:tc>
        <w:tc>
          <w:tcPr/>
          <w:p>
            <w:pPr>
              <w:pStyle w:val="Compact"/>
              <w:jc w:val="left"/>
            </w:pPr>
            <w:r>
              <w:t xml:space="preserve">14 days</w:t>
            </w:r>
          </w:p>
        </w:tc>
        <w:tc>
          <w:tcPr/>
          <w:p>
            <w:pPr>
              <w:pStyle w:val="Compact"/>
              <w:jc w:val="left"/>
            </w:pPr>
            <w:r>
              <w:t xml:space="preserve">35,000</w:t>
            </w:r>
          </w:p>
        </w:tc>
        <w:tc>
          <w:tcPr/>
          <w:p>
            <w:pPr>
              <w:pStyle w:val="Compact"/>
              <w:jc w:val="left"/>
            </w:pPr>
            <w:r>
              <w:t xml:space="preserve">490,000</w:t>
            </w:r>
          </w:p>
        </w:tc>
      </w:tr>
      <w:tr>
        <w:tc>
          <w:tcPr/>
          <w:p>
            <w:pPr>
              <w:pStyle w:val="Compact"/>
              <w:jc w:val="left"/>
            </w:pPr>
            <w:r>
              <w:t xml:space="preserve">3</w:t>
            </w:r>
          </w:p>
        </w:tc>
        <w:tc>
          <w:tcPr/>
          <w:p>
            <w:pPr>
              <w:pStyle w:val="Compact"/>
              <w:jc w:val="left"/>
            </w:pPr>
            <w:r>
              <w:t xml:space="preserve">Design of the main distribution board (MDB), sub-distribution boards (SDBs), and emergency power backup system (generator and UPS integration)</w:t>
            </w:r>
          </w:p>
        </w:tc>
        <w:tc>
          <w:tcPr/>
          <w:p>
            <w:pPr>
              <w:pStyle w:val="Compact"/>
              <w:jc w:val="left"/>
            </w:pPr>
            <w:r>
              <w:t xml:space="preserve">10 days</w:t>
            </w:r>
          </w:p>
        </w:tc>
        <w:tc>
          <w:tcPr/>
          <w:p>
            <w:pPr>
              <w:pStyle w:val="Compact"/>
              <w:jc w:val="left"/>
            </w:pPr>
            <w:r>
              <w:t xml:space="preserve">40,000</w:t>
            </w:r>
          </w:p>
        </w:tc>
        <w:tc>
          <w:tcPr/>
          <w:p>
            <w:pPr>
              <w:pStyle w:val="Compact"/>
              <w:jc w:val="left"/>
            </w:pPr>
            <w:r>
              <w:t xml:space="preserve">400,000</w:t>
            </w:r>
          </w:p>
        </w:tc>
      </w:tr>
      <w:tr>
        <w:tc>
          <w:tcPr/>
          <w:p>
            <w:pPr>
              <w:pStyle w:val="Compact"/>
              <w:jc w:val="left"/>
            </w:pPr>
            <w:r>
              <w:t xml:space="preserve">4</w:t>
            </w:r>
          </w:p>
        </w:tc>
        <w:tc>
          <w:tcPr/>
          <w:p>
            <w:pPr>
              <w:pStyle w:val="Compact"/>
              <w:jc w:val="left"/>
            </w:pPr>
            <w:r>
              <w:t xml:space="preserve">Lightning protection and earthing system design in compliance with Kenya Nairobi municipal by-laws</w:t>
            </w:r>
          </w:p>
        </w:tc>
        <w:tc>
          <w:tcPr/>
          <w:p>
            <w:pPr>
              <w:pStyle w:val="Compact"/>
              <w:jc w:val="left"/>
            </w:pPr>
            <w:r>
              <w:t xml:space="preserve">5 days</w:t>
            </w:r>
          </w:p>
        </w:tc>
        <w:tc>
          <w:tcPr/>
          <w:p>
            <w:pPr>
              <w:pStyle w:val="Compact"/>
              <w:jc w:val="left"/>
            </w:pPr>
            <w:r>
              <w:t xml:space="preserve">30,000</w:t>
            </w:r>
          </w:p>
        </w:tc>
        <w:tc>
          <w:tcPr/>
          <w:p>
            <w:pPr>
              <w:pStyle w:val="Compact"/>
              <w:jc w:val="left"/>
            </w:pPr>
            <w:r>
              <w:t xml:space="preserve">150,000</w:t>
            </w:r>
          </w:p>
        </w:tc>
      </w:tr>
      <w:tr>
        <w:tc>
          <w:tcPr/>
          <w:p>
            <w:pPr>
              <w:pStyle w:val="Compact"/>
              <w:jc w:val="left"/>
            </w:pPr>
            <w:r>
              <w:t xml:space="preserve">5</w:t>
            </w:r>
          </w:p>
        </w:tc>
        <w:tc>
          <w:tcPr/>
          <w:p>
            <w:pPr>
              <w:pStyle w:val="Compact"/>
              <w:jc w:val="left"/>
            </w:pPr>
            <w:r>
              <w:t xml:space="preserve">On-site supervision of electrical installation works by the assigned Electrical Engineer (full-time presence)</w:t>
            </w:r>
          </w:p>
        </w:tc>
        <w:tc>
          <w:tcPr/>
          <w:p>
            <w:pPr>
              <w:pStyle w:val="Compact"/>
              <w:jc w:val="left"/>
            </w:pPr>
            <w:r>
              <w:t xml:space="preserve">60 days</w:t>
            </w:r>
          </w:p>
        </w:tc>
        <w:tc>
          <w:tcPr/>
          <w:p>
            <w:pPr>
              <w:pStyle w:val="Compact"/>
              <w:jc w:val="left"/>
            </w:pPr>
            <w:r>
              <w:t xml:space="preserve">18,000</w:t>
            </w:r>
          </w:p>
        </w:tc>
        <w:tc>
          <w:tcPr/>
          <w:p>
            <w:pPr>
              <w:pStyle w:val="Compact"/>
              <w:jc w:val="left"/>
            </w:pPr>
            <w:r>
              <w:t xml:space="preserve">1,080,000</w:t>
            </w:r>
          </w:p>
        </w:tc>
      </w:tr>
      <w:tr>
        <w:tc>
          <w:tcPr/>
          <w:p>
            <w:pPr>
              <w:pStyle w:val="Compact"/>
              <w:jc w:val="left"/>
            </w:pPr>
            <w:r>
              <w:t xml:space="preserve">6</w:t>
            </w:r>
          </w:p>
        </w:tc>
        <w:tc>
          <w:tcPr/>
          <w:p>
            <w:pPr>
              <w:pStyle w:val="Compact"/>
              <w:jc w:val="left"/>
            </w:pPr>
            <w:r>
              <w:t xml:space="preserve">Testing, commissioning, and certification of all electrical installations prior to handover</w:t>
            </w:r>
          </w:p>
        </w:tc>
        <w:tc>
          <w:tcPr/>
          <w:p>
            <w:pPr>
              <w:pStyle w:val="Compact"/>
              <w:jc w:val="left"/>
            </w:pPr>
            <w:r>
              <w:t xml:space="preserve">7 days</w:t>
            </w:r>
          </w:p>
        </w:tc>
        <w:tc>
          <w:tcPr/>
          <w:p>
            <w:pPr>
              <w:pStyle w:val="Compact"/>
              <w:jc w:val="left"/>
            </w:pPr>
            <w:r>
              <w:t xml:space="preserve">32,000</w:t>
            </w:r>
          </w:p>
        </w:tc>
        <w:tc>
          <w:tcPr/>
          <w:p>
            <w:pPr>
              <w:pStyle w:val="Compact"/>
              <w:jc w:val="left"/>
            </w:pPr>
            <w:r>
              <w:t xml:space="preserve">224,000</w:t>
            </w:r>
          </w:p>
        </w:tc>
      </w:tr>
      <w:tr>
        <w:tc>
          <w:tcPr/>
          <w:p>
            <w:pPr>
              <w:pStyle w:val="Compact"/>
              <w:jc w:val="left"/>
            </w:pPr>
            <w:r>
              <w:t xml:space="preserve">7</w:t>
            </w:r>
          </w:p>
        </w:tc>
        <w:tc>
          <w:tcPr/>
          <w:p>
            <w:pPr>
              <w:pStyle w:val="Compact"/>
              <w:jc w:val="left"/>
            </w:pPr>
            <w:r>
              <w:t xml:space="preserve">Preparation of as-built drawings, operation &amp; maintenance manuals, and statutory submission documents for Kenya Nairobi City County Government</w:t>
            </w:r>
          </w:p>
        </w:tc>
        <w:tc>
          <w:tcPr/>
          <w:p>
            <w:pPr>
              <w:pStyle w:val="Compact"/>
              <w:jc w:val="left"/>
            </w:pPr>
            <w:r>
              <w:t xml:space="preserve">10 days</w:t>
            </w:r>
          </w:p>
        </w:tc>
        <w:tc>
          <w:tcPr/>
          <w:p>
            <w:pPr>
              <w:pStyle w:val="Compact"/>
              <w:jc w:val="left"/>
            </w:pPr>
            <w:r>
              <w:t xml:space="preserve">28,000</w:t>
            </w:r>
          </w:p>
        </w:tc>
        <w:tc>
          <w:tcPr/>
          <w:p>
            <w:pPr>
              <w:pStyle w:val="Compact"/>
              <w:jc w:val="left"/>
            </w:pPr>
            <w:r>
              <w:t xml:space="preserve">280,000</w:t>
            </w:r>
          </w:p>
        </w:tc>
      </w:tr>
      <w:tr>
        <w:tc>
          <w:tcPr/>
          <w:p>
            <w:pPr>
              <w:pStyle w:val="Compact"/>
              <w:jc w:val="left"/>
            </w:pPr>
            <w:r>
              <w:t xml:space="preserve">8</w:t>
            </w:r>
          </w:p>
        </w:tc>
        <w:tc>
          <w:tcPr/>
          <w:p>
            <w:pPr>
              <w:pStyle w:val="Compact"/>
              <w:jc w:val="left"/>
            </w:pPr>
            <w:r>
              <w:t xml:space="preserve">Energy efficiency audit and recommendation report for the completed facility</w:t>
            </w:r>
          </w:p>
        </w:tc>
        <w:tc>
          <w:tcPr/>
          <w:p>
            <w:pPr>
              <w:pStyle w:val="Compact"/>
              <w:jc w:val="left"/>
            </w:pPr>
            <w:r>
              <w:t xml:space="preserve">4 days</w:t>
            </w:r>
          </w:p>
        </w:tc>
        <w:tc>
          <w:tcPr/>
          <w:p>
            <w:pPr>
              <w:pStyle w:val="Compact"/>
              <w:jc w:val="left"/>
            </w:pPr>
            <w:r>
              <w:t xml:space="preserve">30,000</w:t>
            </w:r>
          </w:p>
        </w:tc>
        <w:tc>
          <w:tcPr/>
          <w:p>
            <w:pPr>
              <w:pStyle w:val="Compact"/>
              <w:jc w:val="left"/>
            </w:pPr>
            <w:r>
              <w:t xml:space="preserve">120,000</w:t>
            </w:r>
          </w:p>
        </w:tc>
      </w:tr>
      <w:tr>
        <w:tc>
          <w:tcPr>
            <w:gridSpan w:val="4"/>
          </w:tcPr>
          <w:p>
            <w:pPr>
              <w:pStyle w:val="Compact"/>
              <w:jc w:val="right"/>
            </w:pPr>
            <w:r>
              <w:t xml:space="preserve">Subtotal (KES)</w:t>
            </w:r>
          </w:p>
        </w:tc>
        <w:tc>
          <w:tcPr/>
          <w:p>
            <w:pPr>
              <w:pStyle w:val="Compact"/>
              <w:jc w:val="left"/>
            </w:pPr>
            <w:r>
              <w:t xml:space="preserve">2,819,000</w:t>
            </w:r>
          </w:p>
        </w:tc>
      </w:tr>
      <w:tr>
        <w:tc>
          <w:tcPr>
            <w:gridSpan w:val="4"/>
          </w:tcPr>
          <w:p>
            <w:pPr>
              <w:pStyle w:val="Compact"/>
              <w:jc w:val="right"/>
            </w:pPr>
            <w:r>
              <w:t xml:space="preserve">VAT @ 16%</w:t>
            </w:r>
          </w:p>
        </w:tc>
        <w:tc>
          <w:tcPr/>
          <w:p>
            <w:pPr>
              <w:pStyle w:val="Compact"/>
              <w:jc w:val="left"/>
            </w:pPr>
            <w:r>
              <w:t xml:space="preserve">451,040</w:t>
            </w:r>
          </w:p>
        </w:tc>
      </w:tr>
      <w:tr>
        <w:tc>
          <w:tcPr>
            <w:gridSpan w:val="4"/>
          </w:tcPr>
          <w:p>
            <w:pPr>
              <w:pStyle w:val="Compact"/>
              <w:jc w:val="right"/>
            </w:pPr>
            <w:r>
              <w:t xml:space="preserve">TOTAL AMOUNT (KES)</w:t>
            </w:r>
          </w:p>
        </w:tc>
        <w:tc>
          <w:tcPr/>
          <w:p>
            <w:pPr>
              <w:pStyle w:val="Compact"/>
              <w:jc w:val="left"/>
            </w:pPr>
            <w:r>
              <w:t xml:space="preserve">3,270,040</w:t>
            </w:r>
          </w:p>
        </w:tc>
      </w:tr>
    </w:tbl>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prices may be revised to reflect current market conditions in the Kenya Nairobi construction and engineering sector.</w:t>
      </w:r>
    </w:p>
    <w:p>
      <w:pPr>
        <w:numPr>
          <w:ilvl w:val="0"/>
          <w:numId w:val="1001"/>
        </w:numPr>
        <w:pStyle w:val="Compact"/>
      </w:pPr>
      <w:r>
        <w:t xml:space="preserve">Payment terms: 30% advance payment upon acceptance of this quotation, 40% upon completion of design and drawing submission, and 30% upon successful commissioning and handover of the project.</w:t>
      </w:r>
    </w:p>
    <w:p>
      <w:pPr>
        <w:numPr>
          <w:ilvl w:val="0"/>
          <w:numId w:val="1001"/>
        </w:numPr>
        <w:pStyle w:val="Compact"/>
      </w:pPr>
      <w:r>
        <w:t xml:space="preserve">All invoices shall be payable within fourteen (14) days of receipt. Late payments shall attract interest at the rate of 2% per month as stipulated under the Kenyan Interest Act.</w:t>
      </w:r>
    </w:p>
    <w:p>
      <w:pPr>
        <w:numPr>
          <w:ilvl w:val="0"/>
          <w:numId w:val="1001"/>
        </w:numPr>
        <w:pStyle w:val="Compact"/>
      </w:pPr>
      <w:r>
        <w:t xml:space="preserve">The</w:t>
      </w:r>
      <w:r>
        <w:t xml:space="preserve"> </w:t>
      </w:r>
      <w:r>
        <w:t xml:space="preserve">Electrical Engineer</w:t>
      </w:r>
      <w:r>
        <w:t xml:space="preserve"> </w:t>
      </w:r>
      <w:r>
        <w:t xml:space="preserve">assigned to this project shall be available on-site during standard working hours (Monday to Friday, 08:00 to 17:00) and shall provide a minimum of two (2) hours of after-hours support per week for urgent site queries.</w:t>
      </w:r>
    </w:p>
    <w:p>
      <w:pPr>
        <w:numPr>
          <w:ilvl w:val="0"/>
          <w:numId w:val="1001"/>
        </w:numPr>
        <w:pStyle w:val="Compact"/>
      </w:pPr>
      <w:r>
        <w:t xml:space="preserve">Any variation or change order to the scope of work must be agreed upon in writing by both parties before additional work commences. Revised costs will be reflected in a supplementary</w:t>
      </w:r>
      <w:r>
        <w:t xml:space="preserve"> </w:t>
      </w:r>
      <w:r>
        <w:t xml:space="preserve">Quotation Estimate</w:t>
      </w:r>
      <w:r>
        <w:t xml:space="preserve">.</w:t>
      </w:r>
    </w:p>
    <w:p>
      <w:pPr>
        <w:numPr>
          <w:ilvl w:val="0"/>
          <w:numId w:val="1001"/>
        </w:numPr>
        <w:pStyle w:val="Compact"/>
      </w:pPr>
      <w:r>
        <w:t xml:space="preserve">The client shall provide safe access to the project site in Kenya Nairobi, including necessary permits, scaffolding, and temporary power supply for the duration of the works.</w:t>
      </w:r>
    </w:p>
    <w:p>
      <w:pPr>
        <w:numPr>
          <w:ilvl w:val="0"/>
          <w:numId w:val="1001"/>
        </w:numPr>
        <w:pStyle w:val="Compact"/>
      </w:pPr>
      <w:r>
        <w:t xml:space="preserve">All designs and documentation produced under this engagement shall become the property of the client upon full payment. The</w:t>
      </w:r>
      <w:r>
        <w:t xml:space="preserve"> </w:t>
      </w:r>
      <w:r>
        <w:t xml:space="preserve">Electrical Engineer</w:t>
      </w:r>
      <w:r>
        <w:t xml:space="preserve"> </w:t>
      </w:r>
      <w:r>
        <w:t xml:space="preserve">retains the right to reference the project in professional portfolios.</w:t>
      </w:r>
    </w:p>
    <w:p>
      <w:pPr>
        <w:numPr>
          <w:ilvl w:val="0"/>
          <w:numId w:val="1001"/>
        </w:numPr>
        <w:pStyle w:val="Compact"/>
      </w:pPr>
      <w:r>
        <w:t xml:space="preserve">This quotation does not include the cost of electrical materials, equipment, or third-party testing by EPRA-licensed laboratories. These shall be procured separately by the client.</w:t>
      </w:r>
    </w:p>
    <w:p>
      <w:pPr>
        <w:numPr>
          <w:ilvl w:val="0"/>
          <w:numId w:val="1001"/>
        </w:numPr>
        <w:pStyle w:val="Compact"/>
      </w:pPr>
      <w:r>
        <w:t xml:space="preserve">Disputes arising from this</w:t>
      </w:r>
      <w:r>
        <w:t xml:space="preserve"> </w:t>
      </w:r>
      <w:r>
        <w:t xml:space="preserve">Quotation Estimate</w:t>
      </w:r>
      <w:r>
        <w:t xml:space="preserve"> </w:t>
      </w:r>
      <w:r>
        <w:t xml:space="preserve">shall be resolved through mediation in Kenya Nairobi in accordance with the Arbitration Act, 1995 of Kenya.</w:t>
      </w:r>
    </w:p>
    <w:p>
      <w:pPr>
        <w:pStyle w:val="FirstParagraph"/>
      </w:pPr>
      <w:r>
        <w:t xml:space="preserve">5. Acceptance and Authorisation</w:t>
      </w:r>
    </w:p>
    <w:p>
      <w:pPr>
        <w:pStyle w:val="BodyText"/>
      </w:pPr>
      <w:r>
        <w:t xml:space="preserve">By signing below, the client acknowledges and accepts the terms, conditions, and pricing outlined in this</w:t>
      </w:r>
      <w:r>
        <w:t xml:space="preserve"> </w:t>
      </w:r>
      <w:r>
        <w:t xml:space="preserve">Quotation Estimate</w:t>
      </w:r>
      <w:r>
        <w:t xml:space="preserve"> </w:t>
      </w:r>
      <w:r>
        <w:t xml:space="preserve">for the</w:t>
      </w:r>
      <w:r>
        <w:t xml:space="preserve"> </w:t>
      </w:r>
      <w:r>
        <w:t xml:space="preserve">Electrical Engineer</w:t>
      </w:r>
      <w:r>
        <w:t xml:space="preserve"> </w:t>
      </w:r>
      <w:r>
        <w:t xml:space="preserve">services to be delivered at the specified project location in</w:t>
      </w:r>
      <w:r>
        <w:t xml:space="preserve"> </w:t>
      </w:r>
      <w:r>
        <w:t xml:space="preserve">Kenya Nairobi</w:t>
      </w:r>
      <w:r>
        <w:t xml:space="preserve">.</w:t>
      </w:r>
    </w:p>
    <w:p>
      <w:pPr>
        <w:pStyle w:val="BodyText"/>
      </w:pPr>
      <w:r>
        <w:rPr>
          <w:bCs/>
          <w:b/>
        </w:rPr>
        <w:t xml:space="preserve">For: Kenya Power Solutions &amp; Engineering Ltd.</w:t>
      </w:r>
      <w:r>
        <w:br/>
      </w:r>
      <w:r>
        <w:t xml:space="preserve">Name: Eng. David Mwangi, MIEK</w:t>
      </w:r>
      <w:r>
        <w:br/>
      </w:r>
      <w:r>
        <w:t xml:space="preserve">Title: Lead Electrical Engineer</w:t>
      </w:r>
      <w:r>
        <w:br/>
      </w:r>
      <w:r>
        <w:t xml:space="preserve">Date: _______________</w:t>
      </w:r>
    </w:p>
    <w:p>
      <w:pPr>
        <w:pStyle w:val="BodyText"/>
      </w:pPr>
      <w:r>
        <w:rPr>
          <w:bCs/>
          <w:b/>
        </w:rPr>
        <w:t xml:space="preserve">For: Greenfield Commercial Developments Ltd.</w:t>
      </w:r>
      <w:r>
        <w:br/>
      </w:r>
      <w:r>
        <w:t xml:space="preserve">Name: Ms. Wanjiru Kamau</w:t>
      </w:r>
      <w:r>
        <w:br/>
      </w:r>
      <w:r>
        <w:t xml:space="preserve">Title: Project Director</w:t>
      </w:r>
      <w:r>
        <w:br/>
      </w:r>
      <w:r>
        <w:t xml:space="preserve">Date: _______________</w:t>
      </w:r>
    </w:p>
    <w:p>
      <w:pPr>
        <w:pStyle w:val="BodyText"/>
      </w:pPr>
      <w:r>
        <w:t xml:space="preserve">This Quotation Estimate document was prepared by Kenya Power Solutions &amp; Engineering Ltd., a registered company in Kenya Nairobi (Reg. No. 112345-2019). All services are subject to the professional standards of the Engineering Board of Kenya. For queries regarding this quotation, please contact our office at +254 700 123 456 or info@kenyapowersolutions.co.ke.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Kenya Nairobi</dc:title>
  <dc:creator/>
  <dc:language>en</dc:language>
  <cp:keywords/>
  <dcterms:created xsi:type="dcterms:W3CDTF">2026-10-10T06:51:11Z</dcterms:created>
  <dcterms:modified xsi:type="dcterms:W3CDTF">2026-10-10T06:51:11Z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