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Electrical</w:t>
      </w:r>
      <w:r>
        <w:t xml:space="preserve"> </w:t>
      </w:r>
      <w:r>
        <w:t xml:space="preserve">Engineer</w:t>
      </w:r>
      <w:r>
        <w:t xml:space="preserve"> </w:t>
      </w:r>
      <w:r>
        <w:t xml:space="preserve">Services</w:t>
      </w:r>
      <w:r>
        <w:t xml:space="preserve"> </w:t>
      </w:r>
      <w:r>
        <w:t xml:space="preserve">-</w:t>
      </w:r>
      <w:r>
        <w:t xml:space="preserve"> </w:t>
      </w:r>
      <w:r>
        <w:t xml:space="preserve">Kuwait</w:t>
      </w:r>
      <w:r>
        <w:t xml:space="preserve"> </w:t>
      </w:r>
      <w:r>
        <w:t xml:space="preserve">Kuwait</w:t>
      </w:r>
      <w:r>
        <w:t xml:space="preserve"> </w:t>
      </w:r>
      <w:r>
        <w:t xml:space="preserve">City</w:t>
      </w:r>
    </w:p>
    <w:bookmarkStart w:id="20" w:name="quotation-estimate"/>
    <w:p>
      <w:pPr>
        <w:pStyle w:val="Heading1"/>
      </w:pPr>
      <w:r>
        <w:t xml:space="preserve">QUOTATION ESTIMATE</w:t>
      </w:r>
    </w:p>
    <w:p>
      <w:pPr>
        <w:pStyle w:val="FirstParagraph"/>
      </w:pPr>
      <w:r>
        <w:t xml:space="preserve">Professional Electrical Engineer Services</w:t>
      </w:r>
    </w:p>
    <w:p>
      <w:pPr>
        <w:pStyle w:val="BodyText"/>
      </w:pPr>
      <w:r>
        <w:t xml:space="preserve">Kuwait Kuwait City | Kingdom of Kuwait</w:t>
      </w:r>
    </w:p>
    <w:bookmarkEnd w:id="20"/>
    <w:p>
      <w:pPr>
        <w:pStyle w:val="BodyText"/>
      </w:pPr>
      <w:r>
        <w:rPr>
          <w:bCs/>
          <w:b/>
        </w:rPr>
        <w:t xml:space="preserve">Prepared By:</w:t>
      </w:r>
      <w:r>
        <w:br/>
      </w:r>
      <w:r>
        <w:t xml:space="preserve">Gulf Electrical Engineering Solutions W.L.L.</w:t>
      </w:r>
      <w:r>
        <w:br/>
      </w:r>
      <w:r>
        <w:t xml:space="preserve">Office 42, Al-Salem Tower, Al-Salem Street</w:t>
      </w:r>
      <w:r>
        <w:br/>
      </w:r>
      <w:r>
        <w:t xml:space="preserve">Kuwait Kuwait City, P.O. Box 12345</w:t>
      </w:r>
      <w:r>
        <w:br/>
      </w:r>
      <w:r>
        <w:t xml:space="preserve">Tel: +965-2244-5566 | Email: info@gulf-ees.kw</w:t>
      </w:r>
      <w:r>
        <w:br/>
      </w:r>
      <w:r>
        <w:t xml:space="preserve">CR: 109876-KW</w:t>
      </w:r>
    </w:p>
    <w:p>
      <w:pPr>
        <w:pStyle w:val="BodyText"/>
      </w:pPr>
      <w:r>
        <w:rPr>
          <w:bCs/>
          <w:b/>
        </w:rPr>
        <w:t xml:space="preserve">Quotation Estimate No.:</w:t>
      </w:r>
      <w:r>
        <w:t xml:space="preserve"> </w:t>
      </w:r>
      <w:r>
        <w:t xml:space="preserve">QEE-2025-0487</w:t>
      </w:r>
      <w:r>
        <w:br/>
      </w:r>
      <w:r>
        <w:rPr>
          <w:bCs/>
          <w:b/>
        </w:rPr>
        <w:t xml:space="preserve">Date:</w:t>
      </w:r>
      <w:r>
        <w:t xml:space="preserve"> </w:t>
      </w:r>
      <w:r>
        <w:t xml:space="preserve">15 June 2025</w:t>
      </w:r>
      <w:r>
        <w:br/>
      </w:r>
      <w:r>
        <w:rPr>
          <w:bCs/>
          <w:b/>
        </w:rPr>
        <w:t xml:space="preserve">Valid Until:</w:t>
      </w:r>
      <w:r>
        <w:t xml:space="preserve"> </w:t>
      </w:r>
      <w:r>
        <w:t xml:space="preserve">15 September 2025</w:t>
      </w:r>
      <w:r>
        <w:br/>
      </w:r>
      <w:r>
        <w:rPr>
          <w:bCs/>
          <w:b/>
        </w:rPr>
        <w:t xml:space="preserve">Project Location:</w:t>
      </w:r>
      <w:r>
        <w:t xml:space="preserve"> </w:t>
      </w:r>
      <w:r>
        <w:t xml:space="preserve">Kuwait Kuwait City</w:t>
      </w:r>
    </w:p>
    <w:p>
      <w:pPr>
        <w:pStyle w:val="BodyText"/>
      </w:pPr>
      <w:r>
        <w:rPr>
          <w:bCs/>
          <w:b/>
        </w:rPr>
        <w:t xml:space="preserve">Prepared For:</w:t>
      </w:r>
      <w:r>
        <w:t xml:space="preserve"> </w:t>
      </w:r>
      <w:r>
        <w:t xml:space="preserve">Al-Nakheel Development Company W.L.L.</w:t>
      </w:r>
      <w:r>
        <w:t xml:space="preserve"> </w:t>
      </w:r>
      <w:r>
        <w:rPr>
          <w:bCs/>
          <w:b/>
        </w:rPr>
        <w:t xml:space="preserve">Attention:</w:t>
      </w:r>
      <w:r>
        <w:t xml:space="preserve"> </w:t>
      </w:r>
      <w:r>
        <w:t xml:space="preserve">Mr. Khalid Al-Mubarak, Project Director</w:t>
      </w:r>
    </w:p>
    <w:bookmarkStart w:id="21" w:name="X091f0dfb82768bdcc14fb07ea5eabec314d991f"/>
    <w:p>
      <w:pPr>
        <w:pStyle w:val="Heading2"/>
      </w:pPr>
      <w:r>
        <w:t xml:space="preserve">1. Introduction and Purpose of This Quotation Estimate</w:t>
      </w:r>
    </w:p>
    <w:p>
      <w:pPr>
        <w:pStyle w:val="FirstParagraph"/>
      </w:pPr>
      <w:r>
        <w:t xml:space="preserve">This Quotation Estimate is issued by Gulf Electrical Engineering Solutions W.L.L. in response to the formal request for professional Electrical Engineer services for the Al-Nakheel Mixed-Use Commercial and Residential Complex located in Kuwait Kuwait City. Our firm has been engaged to provide a comprehensive, transparent, and detailed Quotation Estimate that outlines all costs, deliverables, timelines, and professional obligations associated with the full scope of electrical engineering consultancy and design services for this project.</w:t>
      </w:r>
    </w:p>
    <w:p>
      <w:pPr>
        <w:pStyle w:val="BodyText"/>
      </w:pPr>
      <w:r>
        <w:t xml:space="preserve">As a licensed and registered firm operating under the Kuwait Ministry of Electricity and Water (MEW) and the Kuwait Fire and Civil Defense regulations, we bring over eighteen years of specialized experience in delivering Electrical Engineer services across Kuwait Kuwait City and the broader State of Kuwait. This Quotation Estimate reflects our commitment to delivering world-class engineering solutions while adhering to all local codes, international standards (IEC, IEEE), and Kuwaiti building regulations.</w:t>
      </w:r>
    </w:p>
    <w:bookmarkEnd w:id="21"/>
    <w:bookmarkStart w:id="22" w:name="scope-of-electrical-engineer-services"/>
    <w:p>
      <w:pPr>
        <w:pStyle w:val="Heading2"/>
      </w:pPr>
      <w:r>
        <w:t xml:space="preserve">2. Scope of Electrical Engineer Services</w:t>
      </w:r>
    </w:p>
    <w:p>
      <w:pPr>
        <w:pStyle w:val="FirstParagraph"/>
      </w:pPr>
      <w:r>
        <w:t xml:space="preserve">The following scope of work defines the complete range of Electrical Engineer services included in this Quotation Estimate for the project situated in Kuwait Kuwait City:</w:t>
      </w:r>
    </w:p>
    <w:p>
      <w:pPr>
        <w:numPr>
          <w:ilvl w:val="0"/>
          <w:numId w:val="1001"/>
        </w:numPr>
        <w:pStyle w:val="Compact"/>
      </w:pPr>
      <w:r>
        <w:rPr>
          <w:bCs/>
          <w:b/>
        </w:rPr>
        <w:t xml:space="preserve">Conceptual Design &amp; Feasibility Study:</w:t>
      </w:r>
      <w:r>
        <w:t xml:space="preserve"> </w:t>
      </w:r>
      <w:r>
        <w:t xml:space="preserve">Preliminary electrical load calculations, power distribution planning, and single-line diagram development for the entire complex, including 12 residential towers, a 4-level underground parking structure, and a 6-story commercial podium.</w:t>
      </w:r>
    </w:p>
    <w:p>
      <w:pPr>
        <w:numPr>
          <w:ilvl w:val="0"/>
          <w:numId w:val="1001"/>
        </w:numPr>
        <w:pStyle w:val="Compact"/>
      </w:pPr>
      <w:r>
        <w:rPr>
          <w:bCs/>
          <w:b/>
        </w:rPr>
        <w:t xml:space="preserve">Detailed Engineering Design:</w:t>
      </w:r>
      <w:r>
        <w:t xml:space="preserve"> </w:t>
      </w:r>
      <w:r>
        <w:t xml:space="preserve">Full electrical design including power distribution systems, lighting design (interior and exterior), emergency and backup power systems, fire alarm and detection systems, building management system (BMS) integration, and low-voltage systems (data, CCTV, access control, public address).</w:t>
      </w:r>
    </w:p>
    <w:p>
      <w:pPr>
        <w:numPr>
          <w:ilvl w:val="0"/>
          <w:numId w:val="1001"/>
        </w:numPr>
        <w:pStyle w:val="Compact"/>
      </w:pPr>
      <w:r>
        <w:rPr>
          <w:bCs/>
          <w:b/>
        </w:rPr>
        <w:t xml:space="preserve">Coordination with MEW and Civil Defense:</w:t>
      </w:r>
      <w:r>
        <w:t xml:space="preserve"> </w:t>
      </w:r>
      <w:r>
        <w:t xml:space="preserve">All design submissions, coordination meetings, and approval processes with the Kuwait Ministry of Electricity and Water and the Kuwait Fire and Civil Defense Authority as required for projects in Kuwait Kuwait City.</w:t>
      </w:r>
    </w:p>
    <w:p>
      <w:pPr>
        <w:numPr>
          <w:ilvl w:val="0"/>
          <w:numId w:val="1001"/>
        </w:numPr>
        <w:pStyle w:val="Compact"/>
      </w:pPr>
      <w:r>
        <w:rPr>
          <w:bCs/>
          <w:b/>
        </w:rPr>
        <w:t xml:space="preserve">Bill of Quantities (BOQ) Preparation:</w:t>
      </w:r>
      <w:r>
        <w:t xml:space="preserve"> </w:t>
      </w:r>
      <w:r>
        <w:t xml:space="preserve">Detailed electrical BOQ for tendering purposes, including all materials, equipment, and installation labor.</w:t>
      </w:r>
    </w:p>
    <w:p>
      <w:pPr>
        <w:numPr>
          <w:ilvl w:val="0"/>
          <w:numId w:val="1001"/>
        </w:numPr>
        <w:pStyle w:val="Compact"/>
      </w:pPr>
      <w:r>
        <w:rPr>
          <w:bCs/>
          <w:b/>
        </w:rPr>
        <w:t xml:space="preserve">Tender Support &amp; Contractor Supervision:</w:t>
      </w:r>
      <w:r>
        <w:t xml:space="preserve"> </w:t>
      </w:r>
      <w:r>
        <w:t xml:space="preserve">Technical evaluation of contractor bids, construction-phase supervision, and commissioning support.</w:t>
      </w:r>
    </w:p>
    <w:p>
      <w:pPr>
        <w:numPr>
          <w:ilvl w:val="0"/>
          <w:numId w:val="1001"/>
        </w:numPr>
        <w:pStyle w:val="Compact"/>
      </w:pPr>
      <w:r>
        <w:rPr>
          <w:bCs/>
          <w:b/>
        </w:rPr>
        <w:t xml:space="preserve">As-Built Documentation:</w:t>
      </w:r>
      <w:r>
        <w:t xml:space="preserve"> </w:t>
      </w:r>
      <w:r>
        <w:t xml:space="preserve">Final as-built drawings and technical documentation upon project completion.</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Electrical Engineer Service</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Amount (KWD)</w:t>
            </w:r>
          </w:p>
        </w:tc>
      </w:tr>
      <w:tr>
        <w:tc>
          <w:tcPr/>
          <w:p>
            <w:pPr>
              <w:pStyle w:val="Compact"/>
              <w:jc w:val="left"/>
            </w:pPr>
            <w:r>
              <w:t xml:space="preserve">1</w:t>
            </w:r>
          </w:p>
        </w:tc>
        <w:tc>
          <w:tcPr/>
          <w:p>
            <w:pPr>
              <w:pStyle w:val="Compact"/>
              <w:jc w:val="left"/>
            </w:pPr>
            <w:r>
              <w:t xml:space="preserve">Conceptual Design &amp; Feasibility Study – Electrical Engineer Lead</w:t>
            </w:r>
          </w:p>
        </w:tc>
        <w:tc>
          <w:tcPr/>
          <w:p>
            <w:pPr>
              <w:pStyle w:val="Compact"/>
              <w:jc w:val="left"/>
            </w:pPr>
            <w:r>
              <w:t xml:space="preserve">6 weeks</w:t>
            </w:r>
          </w:p>
        </w:tc>
        <w:tc>
          <w:tcPr/>
          <w:p>
            <w:pPr>
              <w:pStyle w:val="Compact"/>
              <w:jc w:val="left"/>
            </w:pPr>
            <w:r>
              <w:t xml:space="preserve">Lump Sum</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Detailed Electrical Design (Power, Lighting, LV Systems, BMS)</w:t>
            </w:r>
          </w:p>
        </w:tc>
        <w:tc>
          <w:tcPr/>
          <w:p>
            <w:pPr>
              <w:pStyle w:val="Compact"/>
              <w:jc w:val="left"/>
            </w:pPr>
            <w:r>
              <w:t xml:space="preserve">14 weeks</w:t>
            </w:r>
          </w:p>
        </w:tc>
        <w:tc>
          <w:tcPr/>
          <w:p>
            <w:pPr>
              <w:pStyle w:val="Compact"/>
              <w:jc w:val="left"/>
            </w:pPr>
            <w:r>
              <w:t xml:space="preserve">Lump Sum</w:t>
            </w:r>
          </w:p>
        </w:tc>
        <w:tc>
          <w:tcPr/>
          <w:p>
            <w:pPr>
              <w:pStyle w:val="Compact"/>
              <w:jc w:val="left"/>
            </w:pPr>
            <w:r>
              <w:t xml:space="preserve">62,000.00</w:t>
            </w:r>
          </w:p>
        </w:tc>
      </w:tr>
      <w:tr>
        <w:tc>
          <w:tcPr/>
          <w:p>
            <w:pPr>
              <w:pStyle w:val="Compact"/>
              <w:jc w:val="left"/>
            </w:pPr>
            <w:r>
              <w:t xml:space="preserve">3</w:t>
            </w:r>
          </w:p>
        </w:tc>
        <w:tc>
          <w:tcPr/>
          <w:p>
            <w:pPr>
              <w:pStyle w:val="Compact"/>
              <w:jc w:val="left"/>
            </w:pPr>
            <w:r>
              <w:t xml:space="preserve">MEW &amp; Civil Defense Coordination and Approval Submissions</w:t>
            </w:r>
          </w:p>
        </w:tc>
        <w:tc>
          <w:tcPr/>
          <w:p>
            <w:pPr>
              <w:pStyle w:val="Compact"/>
              <w:jc w:val="left"/>
            </w:pPr>
            <w:r>
              <w:t xml:space="preserve">8 weeks</w:t>
            </w:r>
          </w:p>
        </w:tc>
        <w:tc>
          <w:tcPr/>
          <w:p>
            <w:pPr>
              <w:pStyle w:val="Compact"/>
              <w:jc w:val="left"/>
            </w:pPr>
            <w:r>
              <w:t xml:space="preserve">Lump Sum</w:t>
            </w:r>
          </w:p>
        </w:tc>
        <w:tc>
          <w:tcPr/>
          <w:p>
            <w:pPr>
              <w:pStyle w:val="Compact"/>
              <w:jc w:val="left"/>
            </w:pPr>
            <w:r>
              <w:t xml:space="preserve">12,750.00</w:t>
            </w:r>
          </w:p>
        </w:tc>
      </w:tr>
      <w:tr>
        <w:tc>
          <w:tcPr/>
          <w:p>
            <w:pPr>
              <w:pStyle w:val="Compact"/>
              <w:jc w:val="left"/>
            </w:pPr>
            <w:r>
              <w:t xml:space="preserve">4</w:t>
            </w:r>
          </w:p>
        </w:tc>
        <w:tc>
          <w:tcPr/>
          <w:p>
            <w:pPr>
              <w:pStyle w:val="Compact"/>
              <w:jc w:val="left"/>
            </w:pPr>
            <w:r>
              <w:t xml:space="preserve">Electrical BOQ Preparation and Tender Documentation</w:t>
            </w:r>
          </w:p>
        </w:tc>
        <w:tc>
          <w:tcPr/>
          <w:p>
            <w:pPr>
              <w:pStyle w:val="Compact"/>
              <w:jc w:val="left"/>
            </w:pPr>
            <w:r>
              <w:t xml:space="preserve">4 weeks</w:t>
            </w:r>
          </w:p>
        </w:tc>
        <w:tc>
          <w:tcPr/>
          <w:p>
            <w:pPr>
              <w:pStyle w:val="Compact"/>
              <w:jc w:val="left"/>
            </w:pPr>
            <w:r>
              <w:t xml:space="preserve">Lump Sum</w:t>
            </w:r>
          </w:p>
        </w:tc>
        <w:tc>
          <w:tcPr/>
          <w:p>
            <w:pPr>
              <w:pStyle w:val="Compact"/>
              <w:jc w:val="left"/>
            </w:pPr>
            <w:r>
              <w:t xml:space="preserve">9,800.00</w:t>
            </w:r>
          </w:p>
        </w:tc>
      </w:tr>
      <w:tr>
        <w:tc>
          <w:tcPr/>
          <w:p>
            <w:pPr>
              <w:pStyle w:val="Compact"/>
              <w:jc w:val="left"/>
            </w:pPr>
            <w:r>
              <w:t xml:space="preserve">5</w:t>
            </w:r>
          </w:p>
        </w:tc>
        <w:tc>
          <w:tcPr/>
          <w:p>
            <w:pPr>
              <w:pStyle w:val="Compact"/>
              <w:jc w:val="left"/>
            </w:pPr>
            <w:r>
              <w:t xml:space="preserve">Construction Phase Supervision – Resident Electrical Engineer</w:t>
            </w:r>
          </w:p>
        </w:tc>
        <w:tc>
          <w:tcPr/>
          <w:p>
            <w:pPr>
              <w:pStyle w:val="Compact"/>
              <w:jc w:val="left"/>
            </w:pPr>
            <w:r>
              <w:t xml:space="preserve">24 months</w:t>
            </w:r>
          </w:p>
        </w:tc>
        <w:tc>
          <w:tcPr/>
          <w:p>
            <w:pPr>
              <w:pStyle w:val="Compact"/>
              <w:jc w:val="left"/>
            </w:pPr>
            <w:r>
              <w:t xml:space="preserve">Monthly (×24)</w:t>
            </w:r>
          </w:p>
        </w:tc>
        <w:tc>
          <w:tcPr/>
          <w:p>
            <w:pPr>
              <w:pStyle w:val="Compact"/>
              <w:jc w:val="left"/>
            </w:pPr>
            <w:r>
              <w:t xml:space="preserve">48,000.00</w:t>
            </w:r>
          </w:p>
        </w:tc>
      </w:tr>
      <w:tr>
        <w:tc>
          <w:tcPr/>
          <w:p>
            <w:pPr>
              <w:pStyle w:val="Compact"/>
              <w:jc w:val="left"/>
            </w:pPr>
            <w:r>
              <w:t xml:space="preserve">6</w:t>
            </w:r>
          </w:p>
        </w:tc>
        <w:tc>
          <w:tcPr/>
          <w:p>
            <w:pPr>
              <w:pStyle w:val="Compact"/>
              <w:jc w:val="left"/>
            </w:pPr>
            <w:r>
              <w:t xml:space="preserve">Commissioning, Testing &amp; As-Built Documentation</w:t>
            </w:r>
          </w:p>
        </w:tc>
        <w:tc>
          <w:tcPr/>
          <w:p>
            <w:pPr>
              <w:pStyle w:val="Compact"/>
              <w:jc w:val="left"/>
            </w:pPr>
            <w:r>
              <w:t xml:space="preserve">6 weeks</w:t>
            </w:r>
          </w:p>
        </w:tc>
        <w:tc>
          <w:tcPr/>
          <w:p>
            <w:pPr>
              <w:pStyle w:val="Compact"/>
              <w:jc w:val="left"/>
            </w:pPr>
            <w:r>
              <w:t xml:space="preserve">Lump Sum</w:t>
            </w:r>
          </w:p>
        </w:tc>
        <w:tc>
          <w:tcPr/>
          <w:p>
            <w:pPr>
              <w:pStyle w:val="Compact"/>
              <w:jc w:val="left"/>
            </w:pPr>
            <w:r>
              <w:t xml:space="preserve">14,200.00</w:t>
            </w:r>
          </w:p>
        </w:tc>
      </w:tr>
      <w:tr>
        <w:tc>
          <w:tcPr/>
          <w:p>
            <w:pPr>
              <w:pStyle w:val="Compact"/>
              <w:jc w:val="left"/>
            </w:pPr>
            <w:r>
              <w:t xml:space="preserve">7</w:t>
            </w:r>
          </w:p>
        </w:tc>
        <w:tc>
          <w:tcPr/>
          <w:p>
            <w:pPr>
              <w:pStyle w:val="Compact"/>
              <w:jc w:val="left"/>
            </w:pPr>
            <w:r>
              <w:t xml:space="preserve">Travel, Accommodation &amp; Local Logistics within Kuwait Kuwait City</w:t>
            </w:r>
          </w:p>
        </w:tc>
        <w:tc>
          <w:tcPr/>
          <w:p>
            <w:pPr>
              <w:pStyle w:val="Compact"/>
              <w:jc w:val="left"/>
            </w:pPr>
            <w:r>
              <w:t xml:space="preserve">Project Duration</w:t>
            </w:r>
          </w:p>
        </w:tc>
        <w:tc>
          <w:tcPr/>
          <w:p>
            <w:pPr>
              <w:pStyle w:val="Compact"/>
              <w:jc w:val="left"/>
            </w:pPr>
            <w:r>
              <w:t xml:space="preserve">Lump Sum</w:t>
            </w:r>
          </w:p>
        </w:tc>
        <w:tc>
          <w:tcPr/>
          <w:p>
            <w:pPr>
              <w:pStyle w:val="Compact"/>
              <w:jc w:val="left"/>
            </w:pPr>
            <w:r>
              <w:t xml:space="preserve">7,500.00</w:t>
            </w:r>
          </w:p>
        </w:tc>
      </w:tr>
      <w:tr>
        <w:tc>
          <w:tcPr>
            <w:gridSpan w:val="4"/>
          </w:tcPr>
          <w:p>
            <w:pPr>
              <w:pStyle w:val="Compact"/>
              <w:jc w:val="right"/>
            </w:pPr>
            <w:r>
              <w:t xml:space="preserve">Subtotal (KWD)</w:t>
            </w:r>
          </w:p>
        </w:tc>
        <w:tc>
          <w:tcPr/>
          <w:p>
            <w:pPr>
              <w:pStyle w:val="Compact"/>
              <w:jc w:val="left"/>
            </w:pPr>
            <w:r>
              <w:t xml:space="preserve">172,750.00</w:t>
            </w:r>
          </w:p>
        </w:tc>
      </w:tr>
      <w:tr>
        <w:tc>
          <w:tcPr>
            <w:gridSpan w:val="4"/>
          </w:tcPr>
          <w:p>
            <w:pPr>
              <w:pStyle w:val="Compact"/>
              <w:jc w:val="right"/>
            </w:pPr>
            <w:r>
              <w:t xml:space="preserve">VAT @ 5% (Kuwait – Exempt)</w:t>
            </w:r>
          </w:p>
        </w:tc>
        <w:tc>
          <w:tcPr/>
          <w:p>
            <w:pPr>
              <w:pStyle w:val="Compact"/>
              <w:jc w:val="left"/>
            </w:pPr>
            <w:r>
              <w:t xml:space="preserve">0.00</w:t>
            </w:r>
          </w:p>
        </w:tc>
      </w:tr>
      <w:tr>
        <w:tc>
          <w:tcPr>
            <w:gridSpan w:val="4"/>
          </w:tcPr>
          <w:p>
            <w:pPr>
              <w:pStyle w:val="Compact"/>
              <w:jc w:val="right"/>
            </w:pPr>
            <w:r>
              <w:t xml:space="preserve">TOTAL QUOTATION ESTIMATE AMOUNT (KWD)</w:t>
            </w:r>
          </w:p>
        </w:tc>
        <w:tc>
          <w:tcPr/>
          <w:p>
            <w:pPr>
              <w:pStyle w:val="Compact"/>
              <w:jc w:val="left"/>
            </w:pPr>
            <w:r>
              <w:t xml:space="preserve">172,750.00</w:t>
            </w:r>
          </w:p>
        </w:tc>
      </w:tr>
    </w:tbl>
    <w:p>
      <w:pPr>
        <w:pStyle w:val="BodyText"/>
      </w:pPr>
      <w:r>
        <w:t xml:space="preserve">* All amounts are quoted in Kuwaiti Dinars (KWD). No VAT is applicable as professional engineering services in Kuwait are currently exempt under the Kuwait VAT Law (2018).</w:t>
      </w:r>
    </w:p>
    <w:bookmarkEnd w:id="23"/>
    <w:bookmarkStart w:id="24" w:name="payment-terms"/>
    <w:p>
      <w:pPr>
        <w:pStyle w:val="Heading2"/>
      </w:pPr>
      <w:r>
        <w:t xml:space="preserve">4. Payment Terms</w:t>
      </w:r>
    </w:p>
    <w:p>
      <w:pPr>
        <w:numPr>
          <w:ilvl w:val="0"/>
          <w:numId w:val="1002"/>
        </w:numPr>
        <w:pStyle w:val="Compact"/>
      </w:pPr>
      <w:r>
        <w:t xml:space="preserve">25% advance payment upon signing of the service agreement and acceptance of this Quotation Estimate.</w:t>
      </w:r>
    </w:p>
    <w:p>
      <w:pPr>
        <w:numPr>
          <w:ilvl w:val="0"/>
          <w:numId w:val="1002"/>
        </w:numPr>
        <w:pStyle w:val="Compact"/>
      </w:pPr>
      <w:r>
        <w:t xml:space="preserve">25% upon completion and approval of the Detailed Electrical Design package.</w:t>
      </w:r>
    </w:p>
    <w:p>
      <w:pPr>
        <w:numPr>
          <w:ilvl w:val="0"/>
          <w:numId w:val="1002"/>
        </w:numPr>
        <w:pStyle w:val="Compact"/>
      </w:pPr>
      <w:r>
        <w:t xml:space="preserve">40% distributed monthly during the construction supervision phase (based on monthly progress reports).</w:t>
      </w:r>
    </w:p>
    <w:p>
      <w:pPr>
        <w:numPr>
          <w:ilvl w:val="0"/>
          <w:numId w:val="1002"/>
        </w:numPr>
        <w:pStyle w:val="Compact"/>
      </w:pPr>
      <w:r>
        <w:t xml:space="preserve">10% upon final handover of as-built documentation and project closeout.</w:t>
      </w:r>
    </w:p>
    <w:p>
      <w:pPr>
        <w:numPr>
          <w:ilvl w:val="0"/>
          <w:numId w:val="1002"/>
        </w:numPr>
        <w:pStyle w:val="Compact"/>
      </w:pPr>
      <w:r>
        <w:t xml:space="preserve">All payments are due within 30 days of invoice issuance. Late payments shall accrue interest at 1.5% per month.</w:t>
      </w:r>
    </w:p>
    <w:bookmarkEnd w:id="24"/>
    <w:bookmarkStart w:id="25" w:name="terms-and-conditions"/>
    <w:p>
      <w:pPr>
        <w:pStyle w:val="Heading2"/>
      </w:pPr>
      <w:r>
        <w:t xml:space="preserve">5. Terms and Conditions</w:t>
      </w:r>
    </w:p>
    <w:p>
      <w:pPr>
        <w:numPr>
          <w:ilvl w:val="0"/>
          <w:numId w:val="1003"/>
        </w:numPr>
        <w:pStyle w:val="Compact"/>
      </w:pPr>
      <w:r>
        <w:t xml:space="preserve">This Quotation Estimate is valid for a period of ninety (90) days from the date of issue. Beyond this period, pricing may be subject to revision based on market conditions in Kuwait Kuwait City.</w:t>
      </w:r>
    </w:p>
    <w:p>
      <w:pPr>
        <w:numPr>
          <w:ilvl w:val="0"/>
          <w:numId w:val="1003"/>
        </w:numPr>
        <w:pStyle w:val="Compact"/>
      </w:pPr>
      <w:r>
        <w:t xml:space="preserve">The scope of work is strictly limited to the items described herein. Any additional Electrical Engineer services, design revisions beyond three (3) iterations, or scope changes shall be subject to a separate change-order Quotation Estimate.</w:t>
      </w:r>
    </w:p>
    <w:p>
      <w:pPr>
        <w:numPr>
          <w:ilvl w:val="0"/>
          <w:numId w:val="1003"/>
        </w:numPr>
        <w:pStyle w:val="Compact"/>
      </w:pPr>
      <w:r>
        <w:t xml:space="preserve">Our firm shall maintain full professional indemnity insurance coverage of no less than KWD 500,000 throughout the project duration.</w:t>
      </w:r>
    </w:p>
    <w:p>
      <w:pPr>
        <w:numPr>
          <w:ilvl w:val="0"/>
          <w:numId w:val="1003"/>
        </w:numPr>
        <w:pStyle w:val="Compact"/>
      </w:pPr>
      <w:r>
        <w:t xml:space="preserve">All deliverables shall comply with the Kuwait Building Code, MEW Technical Regulations, IEC 60364, and applicable Kuwait Fire and Civil Defense standards.</w:t>
      </w:r>
    </w:p>
    <w:p>
      <w:pPr>
        <w:numPr>
          <w:ilvl w:val="0"/>
          <w:numId w:val="1003"/>
        </w:numPr>
        <w:pStyle w:val="Compact"/>
      </w:pPr>
      <w:r>
        <w:t xml:space="preserve">Confidentiality: All project data, drawings, and proprietary information shared in connection with this Quotation Estimate shall be treated as strictly confidential by both parties.</w:t>
      </w:r>
    </w:p>
    <w:p>
      <w:pPr>
        <w:numPr>
          <w:ilvl w:val="0"/>
          <w:numId w:val="1003"/>
        </w:numPr>
        <w:pStyle w:val="Compact"/>
      </w:pPr>
      <w:r>
        <w:t xml:space="preserve">Governing Law: This agreement and all disputes arising hereunder shall be governed by the laws of the State of Kuwait. Any disputes shall be resolved through the Kuwait Courts in Kuwait City.</w:t>
      </w:r>
    </w:p>
    <w:p>
      <w:pPr>
        <w:numPr>
          <w:ilvl w:val="0"/>
          <w:numId w:val="1003"/>
        </w:numPr>
        <w:pStyle w:val="Compact"/>
      </w:pPr>
      <w:r>
        <w:t xml:space="preserve">Force Majeure: Neither party shall be liable for delays caused by events beyond reasonable control, including but not limited to natural disasters, government-mandated shutdowns, or civil unrest in Kuwait.</w:t>
      </w:r>
    </w:p>
    <w:bookmarkEnd w:id="25"/>
    <w:bookmarkStart w:id="26" w:name="project-timeline-summary"/>
    <w:p>
      <w:pPr>
        <w:pStyle w:val="Heading2"/>
      </w:pPr>
      <w:r>
        <w:t xml:space="preserve">6. Project Timeline Summary</w:t>
      </w:r>
    </w:p>
    <w:p>
      <w:pPr>
        <w:pStyle w:val="FirstParagraph"/>
      </w:pPr>
      <w:r>
        <w:t xml:space="preserve">The total estimated duration for all Electrical Engineer services outlined in this Quotation Estimate is approximately thirty (30) months from the date of contract commencement. The design phase (items 1–4) is estimated at approximately twenty-six (26) weeks, while the construction supervision and commissioning phase (items 5–6) spans approximately twenty-four (24) months. All timelines are contingent upon timely client approvals and regulatory clearances from MEW and Civil Defense in Kuwait Kuwait City.</w:t>
      </w:r>
    </w:p>
    <w:bookmarkEnd w:id="26"/>
    <w:bookmarkStart w:id="27" w:name="acceptance-and-authorization"/>
    <w:p>
      <w:pPr>
        <w:pStyle w:val="Heading2"/>
      </w:pPr>
      <w:r>
        <w:t xml:space="preserve">7. Acceptance and Authorization</w:t>
      </w:r>
    </w:p>
    <w:p>
      <w:pPr>
        <w:pStyle w:val="FirstParagraph"/>
      </w:pPr>
      <w:r>
        <w:t xml:space="preserve">By signing below, the client acknowledges receipt of this Quotation Estimate and agrees to the terms, conditions, and pricing outlined herein for the provision of Electrical Engineer services in Kuwait Kuwait City. This signature constitutes formal acceptance of the Quotation Estimate and authorizes Gulf Electrical Engineering Solutions W.L.L. to proceed with the engagement.</w:t>
      </w:r>
    </w:p>
    <w:p>
      <w:pPr>
        <w:pStyle w:val="BodyText"/>
      </w:pPr>
      <w:r>
        <w:rPr>
          <w:bCs/>
          <w:b/>
        </w:rPr>
        <w:t xml:space="preserve">For: Gulf Electrical Engineering Solutions W.L.L.</w:t>
      </w:r>
    </w:p>
    <w:p>
      <w:pPr>
        <w:pStyle w:val="BodyText"/>
      </w:pPr>
      <w:r>
        <w:t xml:space="preserve">Eng. Faisal Al-Rashidi</w:t>
      </w:r>
      <w:r>
        <w:br/>
      </w:r>
      <w:r>
        <w:t xml:space="preserve">Principal Electrical Engineer</w:t>
      </w:r>
      <w:r>
        <w:br/>
      </w:r>
      <w:r>
        <w:t xml:space="preserve">License No. EE-KW-2019-0342</w:t>
      </w:r>
      <w:r>
        <w:br/>
      </w:r>
      <w:r>
        <w:t xml:space="preserve">Date: _______________</w:t>
      </w:r>
    </w:p>
    <w:p>
      <w:pPr>
        <w:pStyle w:val="BodyText"/>
      </w:pPr>
      <w:r>
        <w:rPr>
          <w:bCs/>
          <w:b/>
        </w:rPr>
        <w:t xml:space="preserve">For: Al-Nakheel Development Company W.L.L.</w:t>
      </w:r>
    </w:p>
    <w:p>
      <w:pPr>
        <w:pStyle w:val="BodyText"/>
      </w:pPr>
      <w:r>
        <w:t xml:space="preserve">Mr. Khalid Al-Mubarak</w:t>
      </w:r>
      <w:r>
        <w:br/>
      </w:r>
      <w:r>
        <w:t xml:space="preserve">Project Director</w:t>
      </w:r>
      <w:r>
        <w:br/>
      </w:r>
      <w:r>
        <w:t xml:space="preserve">Date: _______________</w:t>
      </w:r>
    </w:p>
    <w:p>
      <w:pPr>
        <w:pStyle w:val="BodyText"/>
      </w:pPr>
      <w:r>
        <w:rPr>
          <w:bCs/>
          <w:b/>
        </w:rPr>
        <w:t xml:space="preserve">Important Note:</w:t>
      </w:r>
      <w:r>
        <w:t xml:space="preserve"> </w:t>
      </w:r>
      <w:r>
        <w:t xml:space="preserve">This Quotation Estimate document is a formal commercial proposal issued by Gulf Electrical Engineering Solutions W.L.L. for the provision of professional Electrical Engineer services in Kuwait Kuwait City. It does not constitute a binding contract until both parties have executed the formal Service Agreement. All figures are estimates based on the current scope and may be subject to adjustment upon detailed project review. For any clarification or amendment to this Quotation Estimate, please contact our office in Kuwait Kuwait City at +965-2244-5566 or info@gulf-ees.kw.</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Electrical Engineer Services - Kuwait Kuwait City</dc:title>
  <dc:creator/>
  <dc:language>en</dc:language>
  <cp:keywords/>
  <dcterms:created xsi:type="dcterms:W3CDTF">2026-10-10T06:12:40Z</dcterms:created>
  <dcterms:modified xsi:type="dcterms:W3CDTF">2026-10-10T06:12:40Z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