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X3267a1868582ac2bb7f486f1b6bf0b4d21ea2b9"/>
    <w:p>
      <w:pPr>
        <w:pStyle w:val="Heading1"/>
      </w:pPr>
      <w:r>
        <w:t xml:space="preserve">NEVA ELECTRICAL ENGINEERING CONSULTANCY LLC</w:t>
      </w:r>
    </w:p>
    <w:p>
      <w:pPr>
        <w:pStyle w:val="FirstParagraph"/>
      </w:pPr>
      <w:r>
        <w:t xml:space="preserve">12 Liteyny Avenue, Saint Petersburg, 191025, Russian Federation</w:t>
      </w:r>
    </w:p>
    <w:p>
      <w:pPr>
        <w:pStyle w:val="BodyText"/>
      </w:pPr>
      <w:r>
        <w:t xml:space="preserve">Tel: +7 (812) 555-0147 | Email: info@neva-electrical.ru</w:t>
      </w:r>
    </w:p>
    <w:p>
      <w:pPr>
        <w:pStyle w:val="BodyText"/>
      </w:pPr>
      <w:r>
        <w:t xml:space="preserve">INN: 7805123456 | OGRN: 1157847001234</w:t>
      </w:r>
    </w:p>
    <w:bookmarkEnd w:id="20"/>
    <w:bookmarkStart w:id="28" w:name="quotation-estimate"/>
    <w:p>
      <w:pPr>
        <w:pStyle w:val="Heading2"/>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QE-2025-SPB-0847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Russia Saint Petersburg</w:t>
      </w:r>
    </w:p>
    <w:p>
      <w:pPr>
        <w:pStyle w:val="BodyText"/>
      </w:pPr>
      <w:r>
        <w:rPr>
          <w:bCs/>
          <w:b/>
        </w:rPr>
        <w:t xml:space="preserve">Prepared By:</w:t>
      </w:r>
      <w:r>
        <w:t xml:space="preserve"> </w:t>
      </w:r>
      <w:r>
        <w:t xml:space="preserve">Senior</w:t>
      </w:r>
      <w:r>
        <w:t xml:space="preserve"> </w:t>
      </w:r>
      <w:r>
        <w:t xml:space="preserve">Electrical Engineer</w:t>
      </w:r>
      <w:r>
        <w:t xml:space="preserve"> </w:t>
      </w:r>
      <w:r>
        <w:t xml:space="preserve">A. V. Petrov</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Baltic Industrial Holdings JSC</w:t>
      </w:r>
    </w:p>
    <w:p>
      <w:pPr>
        <w:pStyle w:val="BodyText"/>
      </w:pPr>
      <w:r>
        <w:rPr>
          <w:bCs/>
          <w:b/>
        </w:rPr>
        <w:t xml:space="preserve">Address:</w:t>
      </w:r>
      <w:r>
        <w:t xml:space="preserve"> </w:t>
      </w:r>
      <w:r>
        <w:t xml:space="preserve">45 Moskovsky Prospekt, Saint Petersburg, 197198, Russia</w:t>
      </w:r>
    </w:p>
    <w:p>
      <w:pPr>
        <w:pStyle w:val="BodyText"/>
      </w:pPr>
      <w:r>
        <w:rPr>
          <w:bCs/>
          <w:b/>
        </w:rPr>
        <w:t xml:space="preserve">Contact Person:</w:t>
      </w:r>
      <w:r>
        <w:t xml:space="preserve"> </w:t>
      </w:r>
      <w:r>
        <w:t xml:space="preserve">Dr. Elena Kuznetsova, Chief Operations Officer</w:t>
      </w:r>
    </w:p>
    <w:p>
      <w:pPr>
        <w:pStyle w:val="BodyText"/>
      </w:pPr>
      <w:r>
        <w:rPr>
          <w:bCs/>
          <w:b/>
        </w:rPr>
        <w:t xml:space="preserve">Email:</w:t>
      </w:r>
      <w:r>
        <w:t xml:space="preserve"> </w:t>
      </w:r>
      <w:r>
        <w:t xml:space="preserve">e.kuznetsova@baltic-industrial.ru</w:t>
      </w:r>
    </w:p>
    <w:p>
      <w:pPr>
        <w:pStyle w:val="BodyText"/>
      </w:pPr>
      <w:r>
        <w:rPr>
          <w:bCs/>
          <w:b/>
        </w:rPr>
        <w:t xml:space="preserve">Phone:</w:t>
      </w:r>
      <w:r>
        <w:t xml:space="preserve"> </w:t>
      </w:r>
      <w:r>
        <w:t xml:space="preserve">+7 (812) 333-8821</w:t>
      </w:r>
    </w:p>
    <w:bookmarkEnd w:id="22"/>
    <w:bookmarkStart w:id="23" w:name="X220e7e8d3ffe5fcceb45d45479ac04952b1027d"/>
    <w:p>
      <w:pPr>
        <w:pStyle w:val="Heading3"/>
      </w:pPr>
      <w:r>
        <w:t xml:space="preserve">1. Scope of Work – Electrical Engineer Services in Russia Saint Petersburg</w:t>
      </w:r>
    </w:p>
    <w:p>
      <w:pPr>
        <w:pStyle w:val="FirstParagraph"/>
      </w:pPr>
      <w:r>
        <w:t xml:space="preserve">This</w:t>
      </w:r>
      <w:r>
        <w:t xml:space="preserve"> </w:t>
      </w:r>
      <w:r>
        <w:t xml:space="preserve">Quotation Estimate</w:t>
      </w:r>
      <w:r>
        <w:t xml:space="preserve"> </w:t>
      </w:r>
      <w:r>
        <w:t xml:space="preserve">is issued by Neva Electrical Engineering Consultancy LLC to provide comprehensive professional services rendered by a certified</w:t>
      </w:r>
      <w:r>
        <w:t xml:space="preserve"> </w:t>
      </w:r>
      <w:r>
        <w:t xml:space="preserve">Electrical Engineer</w:t>
      </w:r>
      <w:r>
        <w:t xml:space="preserve"> </w:t>
      </w:r>
      <w:r>
        <w:t xml:space="preserve">for the design, review, and commissioning of the low-voltage and medium-voltage electrical infrastructure at the client's manufacturing facility located in the Krasnogvardeysky District of</w:t>
      </w:r>
      <w:r>
        <w:t xml:space="preserve"> </w:t>
      </w:r>
      <w:r>
        <w:t xml:space="preserve">Russia Saint Petersburg</w:t>
      </w:r>
      <w:r>
        <w:t xml:space="preserve">. The scope encompasses all phases from initial site survey through to final handover documentation, ensuring full compliance with Russian national standards (GOST R 50571, SP 256.1325800.2016) and the technical regulations of the Russian Federation.</w:t>
      </w:r>
    </w:p>
    <w:bookmarkEnd w:id="23"/>
    <w:bookmarkStart w:id="24"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On-site electrical survey and load assessment by a licensed Electrical Engineer at the client's premises in Russia Saint Petersburg</w:t>
            </w:r>
          </w:p>
        </w:tc>
        <w:tc>
          <w:tcPr/>
          <w:p>
            <w:pPr>
              <w:pStyle w:val="Compact"/>
              <w:jc w:val="left"/>
            </w:pPr>
            <w:r>
              <w:t xml:space="preserve">Day</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2</w:t>
            </w:r>
          </w:p>
        </w:tc>
        <w:tc>
          <w:tcPr/>
          <w:p>
            <w:pPr>
              <w:pStyle w:val="Compact"/>
              <w:jc w:val="left"/>
            </w:pPr>
            <w:r>
              <w:t xml:space="preserve">Preparation of single-line diagrams, load flow analysis, and short-circuit calculations for the 10 kV / 0.4 kV distribution system</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3</w:t>
            </w:r>
          </w:p>
        </w:tc>
        <w:tc>
          <w:tcPr/>
          <w:p>
            <w:pPr>
              <w:pStyle w:val="Compact"/>
              <w:jc w:val="left"/>
            </w:pPr>
            <w:r>
              <w:t xml:space="preserve">Design of the main switchboard (ГРЩ) and sub-distribution panels including protection coordination and selectivity studies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Lighting design and energy-efficiency optimization for production halls (approximately 12,000 m²) in compliance with SP 52.13330</w:t>
            </w:r>
          </w:p>
        </w:tc>
        <w:tc>
          <w:tcPr/>
          <w:p>
            <w:pPr>
              <w:pStyle w:val="Compact"/>
              <w:jc w:val="left"/>
            </w:pPr>
            <w:r>
              <w:t xml:space="preserve">m²</w:t>
            </w:r>
          </w:p>
        </w:tc>
        <w:tc>
          <w:tcPr/>
          <w:p>
            <w:pPr>
              <w:pStyle w:val="Compact"/>
              <w:jc w:val="left"/>
            </w:pPr>
            <w:r>
              <w:t xml:space="preserve">12,000</w:t>
            </w:r>
          </w:p>
        </w:tc>
        <w:tc>
          <w:tcPr/>
          <w:p>
            <w:pPr>
              <w:pStyle w:val="Compact"/>
              <w:jc w:val="left"/>
            </w:pPr>
            <w:r>
              <w:t xml:space="preserve">85</w:t>
            </w:r>
          </w:p>
        </w:tc>
        <w:tc>
          <w:tcPr/>
          <w:p>
            <w:pPr>
              <w:pStyle w:val="Compact"/>
              <w:jc w:val="left"/>
            </w:pPr>
            <w:r>
              <w:t xml:space="preserve">1,020,000</w:t>
            </w:r>
          </w:p>
        </w:tc>
      </w:tr>
      <w:tr>
        <w:tc>
          <w:tcPr/>
          <w:p>
            <w:pPr>
              <w:pStyle w:val="Compact"/>
              <w:jc w:val="left"/>
            </w:pPr>
            <w:r>
              <w:t xml:space="preserve">5</w:t>
            </w:r>
          </w:p>
        </w:tc>
        <w:tc>
          <w:tcPr/>
          <w:p>
            <w:pPr>
              <w:pStyle w:val="Compact"/>
              <w:jc w:val="left"/>
            </w:pPr>
            <w:r>
              <w:t xml:space="preserve">Earthing and lightning protection system design per GOST IEC 62305, including soil resistivity testing in the Saint Petersburg region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6</w:t>
            </w:r>
          </w:p>
        </w:tc>
        <w:tc>
          <w:tcPr/>
          <w:p>
            <w:pPr>
              <w:pStyle w:val="Compact"/>
              <w:jc w:val="left"/>
            </w:pPr>
            <w:r>
              <w:t xml:space="preserve">Power quality analysis and harmonic mitigation strategy for sensitive manufacturing equipment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7</w:t>
            </w:r>
          </w:p>
        </w:tc>
        <w:tc>
          <w:tcPr/>
          <w:p>
            <w:pPr>
              <w:pStyle w:val="Compact"/>
              <w:jc w:val="left"/>
            </w:pPr>
            <w:r>
              <w:t xml:space="preserve">Preparation of the full project documentation package (Рабочая документация) for submission to the local RosTekhnadzor authority in Russia Saint Petersburg</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8</w:t>
            </w:r>
          </w:p>
        </w:tc>
        <w:tc>
          <w:tcPr/>
          <w:p>
            <w:pPr>
              <w:pStyle w:val="Compact"/>
              <w:jc w:val="left"/>
            </w:pPr>
            <w:r>
              <w:t xml:space="preserve">On-site supervision during installation and commissioning by the assigned Electrical Engineer (estimated 10 working days)</w:t>
            </w:r>
          </w:p>
        </w:tc>
        <w:tc>
          <w:tcPr/>
          <w:p>
            <w:pPr>
              <w:pStyle w:val="Compact"/>
              <w:jc w:val="left"/>
            </w:pPr>
            <w:r>
              <w:t xml:space="preserve">Day</w:t>
            </w:r>
          </w:p>
        </w:tc>
        <w:tc>
          <w:tcPr/>
          <w:p>
            <w:pPr>
              <w:pStyle w:val="Compact"/>
              <w:jc w:val="left"/>
            </w:pPr>
            <w:r>
              <w:t xml:space="preserve">10</w:t>
            </w:r>
          </w:p>
        </w:tc>
        <w:tc>
          <w:tcPr/>
          <w:p>
            <w:pPr>
              <w:pStyle w:val="Compact"/>
              <w:jc w:val="left"/>
            </w:pPr>
            <w:r>
              <w:t xml:space="preserve">38,000</w:t>
            </w:r>
          </w:p>
        </w:tc>
        <w:tc>
          <w:tcPr/>
          <w:p>
            <w:pPr>
              <w:pStyle w:val="Compact"/>
              <w:jc w:val="left"/>
            </w:pPr>
            <w:r>
              <w:t xml:space="preserve">380,000</w:t>
            </w:r>
          </w:p>
        </w:tc>
      </w:tr>
      <w:tr>
        <w:tc>
          <w:tcPr/>
          <w:p>
            <w:pPr>
              <w:pStyle w:val="Compact"/>
              <w:jc w:val="left"/>
            </w:pPr>
            <w:r>
              <w:t xml:space="preserve">9</w:t>
            </w:r>
          </w:p>
        </w:tc>
        <w:tc>
          <w:tcPr/>
          <w:p>
            <w:pPr>
              <w:pStyle w:val="Compact"/>
              <w:jc w:val="left"/>
            </w:pPr>
            <w:r>
              <w:t xml:space="preserve">Final testing, commissioning reports, and as-built documentation handover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140,000</w:t>
            </w:r>
          </w:p>
        </w:tc>
        <w:tc>
          <w:tcPr/>
          <w:p>
            <w:pPr>
              <w:pStyle w:val="Compact"/>
              <w:jc w:val="left"/>
            </w:pPr>
            <w:r>
              <w:t xml:space="preserve">140,000</w:t>
            </w:r>
          </w:p>
        </w:tc>
      </w:tr>
      <w:tr>
        <w:tc>
          <w:tcPr/>
          <w:p>
            <w:pPr>
              <w:pStyle w:val="Compact"/>
              <w:jc w:val="left"/>
            </w:pPr>
            <w:r>
              <w:t xml:space="preserve">10</w:t>
            </w:r>
          </w:p>
        </w:tc>
        <w:tc>
          <w:tcPr/>
          <w:p>
            <w:pPr>
              <w:pStyle w:val="Compact"/>
              <w:jc w:val="left"/>
            </w:pPr>
            <w:r>
              <w:t xml:space="preserve">Travel, accommodation, and local transport within Russia Saint Petersburg for the duration of the project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right"/>
            </w:pPr>
            <w:r>
              <w:t xml:space="preserve">Subtotal (RUB)</w:t>
            </w:r>
          </w:p>
        </w:tc>
        <w:tc>
          <w:tcPr/>
          <w:p>
            <w:pPr>
              <w:pStyle w:val="Compact"/>
              <w:jc w:val="left"/>
            </w:pPr>
            <w:r>
              <w:t xml:space="preserve">2,975,000</w:t>
            </w:r>
          </w:p>
        </w:tc>
      </w:tr>
      <w:tr>
        <w:tc>
          <w:tcPr>
            <w:gridSpan w:val="5"/>
          </w:tcPr>
          <w:p>
            <w:pPr>
              <w:pStyle w:val="Compact"/>
              <w:jc w:val="right"/>
            </w:pPr>
            <w:r>
              <w:t xml:space="preserve">VAT 20% (RUB)</w:t>
            </w:r>
          </w:p>
        </w:tc>
        <w:tc>
          <w:tcPr/>
          <w:p>
            <w:pPr>
              <w:pStyle w:val="Compact"/>
              <w:jc w:val="left"/>
            </w:pPr>
            <w:r>
              <w:t xml:space="preserve">595,000</w:t>
            </w:r>
          </w:p>
        </w:tc>
      </w:tr>
      <w:tr>
        <w:tc>
          <w:tcPr>
            <w:gridSpan w:val="5"/>
          </w:tcPr>
          <w:p>
            <w:pPr>
              <w:pStyle w:val="Compact"/>
              <w:jc w:val="right"/>
            </w:pPr>
            <w:r>
              <w:t xml:space="preserve">GRAND TOTAL (RUB)</w:t>
            </w:r>
          </w:p>
        </w:tc>
        <w:tc>
          <w:tcPr/>
          <w:p>
            <w:pPr>
              <w:pStyle w:val="Compact"/>
              <w:jc w:val="left"/>
            </w:pPr>
            <w:r>
              <w:t xml:space="preserve">3,570,000</w:t>
            </w:r>
          </w:p>
        </w:tc>
      </w:tr>
    </w:tbl>
    <w:bookmarkEnd w:id="24"/>
    <w:bookmarkStart w:id="25" w:name="project-timeline"/>
    <w:p>
      <w:pPr>
        <w:pStyle w:val="Heading3"/>
      </w:pPr>
      <w:r>
        <w:t xml:space="preserve">3. Project Timeline</w:t>
      </w:r>
    </w:p>
    <w:p>
      <w:pPr>
        <w:pStyle w:val="FirstParagraph"/>
      </w:pPr>
      <w:r>
        <w:t xml:space="preserve">The</w:t>
      </w:r>
      <w:r>
        <w:t xml:space="preserve"> </w:t>
      </w:r>
      <w:r>
        <w:t xml:space="preserve">Electrical Engineer</w:t>
      </w:r>
      <w:r>
        <w:t xml:space="preserve"> </w:t>
      </w:r>
      <w:r>
        <w:t xml:space="preserve">assigned to this project will commence work within five (5) business days of contract execution. The estimated total duration for all deliverables outlined in this</w:t>
      </w:r>
      <w:r>
        <w:t xml:space="preserve"> </w:t>
      </w:r>
      <w:r>
        <w:t xml:space="preserve">Quotation Estimate</w:t>
      </w:r>
      <w:r>
        <w:t xml:space="preserve"> </w:t>
      </w:r>
      <w:r>
        <w:t xml:space="preserve">is fourteen (14) calendar weeks, subject to timely access to the site and prompt approval of interim design submissions by the client's technical team in</w:t>
      </w:r>
      <w:r>
        <w:t xml:space="preserve"> </w:t>
      </w:r>
      <w:r>
        <w:t xml:space="preserve">Russia Saint Petersburg</w:t>
      </w:r>
      <w:r>
        <w:t xml:space="preserve">.</w:t>
      </w:r>
    </w:p>
    <w:bookmarkEnd w:id="25"/>
    <w:bookmarkStart w:id="26" w:name="terms-and-conditions"/>
    <w:p>
      <w:pPr>
        <w:pStyle w:val="Heading3"/>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quoted in Russian Rubles (RUB) and are subject to revision upon expiry.</w:t>
      </w:r>
    </w:p>
    <w:p>
      <w:pPr>
        <w:numPr>
          <w:ilvl w:val="0"/>
          <w:numId w:val="1001"/>
        </w:numPr>
        <w:pStyle w:val="Compact"/>
      </w:pPr>
      <w:r>
        <w:rPr>
          <w:bCs/>
          <w:b/>
        </w:rPr>
        <w:t xml:space="preserve">Payment Terms:</w:t>
      </w:r>
      <w:r>
        <w:t xml:space="preserve"> </w:t>
      </w:r>
      <w:r>
        <w:t xml:space="preserve">30% advance payment upon signing of the service contract; 40% upon delivery and approval of the design documentation package; 30% upon successful commissioning and final handover. All payments shall be made via bank transfer to the account of Neva Electrical Engineering Consultancy LLC.</w:t>
      </w:r>
    </w:p>
    <w:p>
      <w:pPr>
        <w:numPr>
          <w:ilvl w:val="0"/>
          <w:numId w:val="1001"/>
        </w:numPr>
        <w:pStyle w:val="Compact"/>
      </w:pPr>
      <w:r>
        <w:rPr>
          <w:bCs/>
          <w:b/>
        </w:rPr>
        <w:t xml:space="preserve">Intellectual Property:</w:t>
      </w:r>
      <w:r>
        <w:t xml:space="preserve"> </w:t>
      </w:r>
      <w:r>
        <w:t xml:space="preserve">All design documents, calculations, and reports produced by the Electrical Engineer under this engagement shall become the exclusive property of the client upon full payment.</w:t>
      </w:r>
    </w:p>
    <w:p>
      <w:pPr>
        <w:numPr>
          <w:ilvl w:val="0"/>
          <w:numId w:val="1001"/>
        </w:numPr>
        <w:pStyle w:val="Compact"/>
      </w:pPr>
      <w:r>
        <w:rPr>
          <w:bCs/>
          <w:b/>
        </w:rPr>
        <w:t xml:space="preserve">Compliance:</w:t>
      </w:r>
      <w:r>
        <w:t xml:space="preserve"> </w:t>
      </w:r>
      <w:r>
        <w:t xml:space="preserve">All work shall be performed in strict accordance with the Federal Law of the Russian Federation No. 384-FZ "Technical Regulation on the Safety of Buildings and Structures" and applicable GOST standards in force in Russia Saint Petersburg.</w:t>
      </w:r>
    </w:p>
    <w:p>
      <w:pPr>
        <w:numPr>
          <w:ilvl w:val="0"/>
          <w:numId w:val="1001"/>
        </w:numPr>
        <w:pStyle w:val="Compact"/>
      </w:pPr>
      <w:r>
        <w:rPr>
          <w:bCs/>
          <w:b/>
        </w:rPr>
        <w:t xml:space="preserve">Warranty:</w:t>
      </w:r>
      <w:r>
        <w:t xml:space="preserve"> </w:t>
      </w:r>
      <w:r>
        <w:t xml:space="preserve">The Electrical Engineer provides a twelve (12) month warranty on all design deliverables against errors or omissions. Any rectification work required within this period shall be performed at no additional cost.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government-mandated shutdowns, natural disasters, or changes in Russian regulatory requirements.</w:t>
      </w:r>
    </w:p>
    <w:p>
      <w:pPr>
        <w:numPr>
          <w:ilvl w:val="0"/>
          <w:numId w:val="1001"/>
        </w:numPr>
        <w:pStyle w:val="Compact"/>
      </w:pPr>
      <w:r>
        <w:rPr>
          <w:bCs/>
          <w:b/>
        </w:rPr>
        <w:t xml:space="preserve">Governing Law:</w:t>
      </w:r>
      <w:r>
        <w:t xml:space="preserve"> </w:t>
      </w:r>
      <w:r>
        <w:t xml:space="preserve">This Quotation Estimate and any resulting contract shall be governed by the civil law of the Russian Federation. Disputes shall be resolved by the Arbitration Court of Saint Petersburg and the Leningrad Region.</w:t>
      </w:r>
    </w:p>
    <w:p>
      <w:pPr>
        <w:numPr>
          <w:ilvl w:val="0"/>
          <w:numId w:val="1001"/>
        </w:numPr>
        <w:pStyle w:val="Compact"/>
      </w:pPr>
      <w:r>
        <w:rPr>
          <w:bCs/>
          <w:b/>
        </w:rPr>
        <w:t xml:space="preserve">Confidentiality:</w:t>
      </w:r>
      <w:r>
        <w:t xml:space="preserve"> </w:t>
      </w:r>
      <w:r>
        <w:t xml:space="preserve">Both parties agree to maintain strict confidentiality regarding all technical data, commercial terms, and site-specific information exchanged during the course of this project in Russia Saint Petersburg.</w:t>
      </w:r>
    </w:p>
    <w:bookmarkEnd w:id="26"/>
    <w:bookmarkStart w:id="27" w:name="acceptance-and-authorization"/>
    <w:p>
      <w:pPr>
        <w:pStyle w:val="Heading3"/>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set forth herein for the engagement of the</w:t>
      </w:r>
      <w:r>
        <w:t xml:space="preserve"> </w:t>
      </w:r>
      <w:r>
        <w:t xml:space="preserve">Electrical Engineer</w:t>
      </w:r>
      <w:r>
        <w:t xml:space="preserve"> </w:t>
      </w:r>
      <w:r>
        <w:t xml:space="preserve">services in</w:t>
      </w:r>
      <w:r>
        <w:t xml:space="preserve"> </w:t>
      </w:r>
      <w:r>
        <w:t xml:space="preserve">Russia Saint Petersburg</w:t>
      </w:r>
      <w:r>
        <w:t xml:space="preserve">. A formal service contract shall be executed within ten (10) business days of mutual signature.</w:t>
      </w:r>
    </w:p>
    <w:p>
      <w:pPr>
        <w:pStyle w:val="BodyText"/>
      </w:pPr>
      <w:r>
        <w:rPr>
          <w:bCs/>
          <w:b/>
        </w:rPr>
        <w:t xml:space="preserve">For and on behalf of:</w:t>
      </w:r>
      <w:r>
        <w:br/>
      </w:r>
      <w:r>
        <w:t xml:space="preserve">Neva Electrical Engineering Consultancy LLC</w:t>
      </w:r>
    </w:p>
    <w:p>
      <w:pPr>
        <w:pStyle w:val="BodyText"/>
      </w:pPr>
      <w:r>
        <w:t xml:space="preserve">Name: A. V. Petrov</w:t>
      </w:r>
      <w:r>
        <w:br/>
      </w:r>
      <w:r>
        <w:t xml:space="preserve">Title: Lead Electrical Engineer / Director</w:t>
      </w:r>
      <w:r>
        <w:br/>
      </w:r>
      <w:r>
        <w:t xml:space="preserve">Signature: _________________________</w:t>
      </w:r>
      <w:r>
        <w:br/>
      </w:r>
      <w:r>
        <w:t xml:space="preserve">Date: _________________________</w:t>
      </w:r>
    </w:p>
    <w:p>
      <w:pPr>
        <w:pStyle w:val="BodyText"/>
      </w:pPr>
      <w:r>
        <w:rPr>
          <w:bCs/>
          <w:b/>
        </w:rPr>
        <w:t xml:space="preserve">For and on behalf of:</w:t>
      </w:r>
      <w:r>
        <w:br/>
      </w:r>
      <w:r>
        <w:t xml:space="preserve">Baltic Industrial Holdings JSC</w:t>
      </w:r>
    </w:p>
    <w:p>
      <w:pPr>
        <w:pStyle w:val="BodyText"/>
      </w:pPr>
      <w:r>
        <w:t xml:space="preserve">Name: Dr. Elena Kuznetsova</w:t>
      </w:r>
      <w:r>
        <w:br/>
      </w:r>
      <w:r>
        <w:t xml:space="preserve">Title: Chief Operations Officer</w:t>
      </w:r>
      <w:r>
        <w:br/>
      </w:r>
      <w:r>
        <w:t xml:space="preserve">Signature: _________________________</w:t>
      </w:r>
      <w:r>
        <w:br/>
      </w:r>
      <w:r>
        <w:t xml:space="preserve">Date: _________________________</w:t>
      </w:r>
    </w:p>
    <w:p>
      <w:pPr>
        <w:pStyle w:val="BodyText"/>
      </w:pPr>
      <w:r>
        <w:t xml:space="preserve">Quotation Estimate No. QE-2025-SPB-0847 | Neva Electrical Engineering Consultancy LLC | 12 Liteyny Avenue, Saint Petersburg, 191025, Russian Federation</w:t>
      </w:r>
    </w:p>
    <w:p>
      <w:pPr>
        <w:pStyle w:val="BodyText"/>
      </w:pPr>
      <w:r>
        <w:t xml:space="preserve">This document is a commercial quotation and does not constitute a binding contract until both parties execute the formal service agreement.</w:t>
      </w:r>
    </w:p>
    <w:p>
      <w:pPr>
        <w:pStyle w:val="BodyText"/>
      </w:pPr>
      <w:r>
        <w:t xml:space="preserve">Page 1 of 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Russia Saint Petersburg</dc:title>
  <dc:creator/>
  <dc:language>en</dc:language>
  <cp:keywords/>
  <dcterms:created xsi:type="dcterms:W3CDTF">2026-10-10T08:38:07Z</dcterms:created>
  <dcterms:modified xsi:type="dcterms:W3CDTF">2026-10-10T08:38:07Z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