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Electrical Engineer Services | Singapore Singapore</w:t>
      </w:r>
    </w:p>
    <w:p>
      <w:pPr>
        <w:pStyle w:val="BodyText"/>
      </w:pPr>
      <w:r>
        <w:t xml:space="preserve">Ref: QE/EE/SG/2025/0047 | Valid Until: 30 June 2025</w:t>
      </w:r>
    </w:p>
    <w:bookmarkEnd w:id="20"/>
    <w:p>
      <w:pPr>
        <w:pStyle w:val="BodyText"/>
      </w:pPr>
      <w:r>
        <w:rPr>
          <w:bCs/>
          <w:b/>
        </w:rPr>
        <w:t xml:space="preserve">Prepared By:</w:t>
      </w:r>
      <w:r>
        <w:br/>
      </w:r>
      <w:r>
        <w:t xml:space="preserve">Meridian Electrical Engineering Pte. Ltd.</w:t>
      </w:r>
      <w:r>
        <w:br/>
      </w:r>
      <w:r>
        <w:t xml:space="preserve">12 Marina View, #28-01</w:t>
      </w:r>
      <w:r>
        <w:br/>
      </w:r>
      <w:r>
        <w:t xml:space="preserve">Singapore Singapore 018961</w:t>
      </w:r>
      <w:r>
        <w:br/>
      </w:r>
      <w:r>
        <w:t xml:space="preserve">UEN: 201912345K</w:t>
      </w:r>
      <w:r>
        <w:br/>
      </w:r>
      <w:r>
        <w:t xml:space="preserve">Tel: +65 6842 7733</w:t>
      </w:r>
      <w:r>
        <w:br/>
      </w:r>
      <w:r>
        <w:t xml:space="preserve">Email: quotations@meridian-ee.sg</w:t>
      </w:r>
    </w:p>
    <w:p>
      <w:pPr>
        <w:pStyle w:val="BodyText"/>
      </w:pPr>
      <w:r>
        <w:rPr>
          <w:bCs/>
          <w:b/>
        </w:rPr>
        <w:t xml:space="preserve">Prepared For:</w:t>
      </w:r>
      <w:r>
        <w:br/>
      </w:r>
      <w:r>
        <w:t xml:space="preserve">Horizon Commercial Developments Pte. Ltd.</w:t>
      </w:r>
      <w:r>
        <w:br/>
      </w:r>
      <w:r>
        <w:t xml:space="preserve">88 Raffles Place, #15-02</w:t>
      </w:r>
      <w:r>
        <w:br/>
      </w:r>
      <w:r>
        <w:t xml:space="preserve">Singapore Singapore 048622</w:t>
      </w:r>
      <w:r>
        <w:br/>
      </w:r>
      <w:r>
        <w:t xml:space="preserve">UEN: 201567890M</w:t>
      </w:r>
      <w:r>
        <w:br/>
      </w:r>
      <w:r>
        <w:t xml:space="preserve">Contact: Mr. Tan Wei Ming</w:t>
      </w:r>
      <w:r>
        <w:br/>
      </w:r>
      <w:r>
        <w:t xml:space="preserve">Tel: +65 9123 4567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Electrical Engineering Pte. Ltd. to Horizon Commercial Developments Pte. Ltd. for the provision of comprehensive</w:t>
      </w:r>
      <w:r>
        <w:t xml:space="preserve"> </w:t>
      </w:r>
      <w:r>
        <w:t xml:space="preserve">Electrical Engineer</w:t>
      </w:r>
      <w:r>
        <w:t xml:space="preserve"> </w:t>
      </w:r>
      <w:r>
        <w:t xml:space="preserve">consultancy, design, and supervision services for the proposed mixed-use commercial development at 45 Orchard Boulevard,</w:t>
      </w:r>
      <w:r>
        <w:t xml:space="preserve"> </w:t>
      </w:r>
      <w:r>
        <w:t xml:space="preserve">Singapore Singapore</w:t>
      </w:r>
      <w:r>
        <w:t xml:space="preserve">. This document outlines the full scope of work, itemized cost breakdown, project timeline, and applicable terms and conditions governing the engagement. All pricing is quoted in Singapore Dollars (SGD) and is subject to the terms stated herein.</w:t>
      </w:r>
    </w:p>
    <w:bookmarkEnd w:id="21"/>
    <w:bookmarkStart w:id="22" w:name="X351fbaf4d27ab0df43a259f152e75f5ea5df9bf"/>
    <w:p>
      <w:pPr>
        <w:pStyle w:val="Heading2"/>
      </w:pPr>
      <w:r>
        <w:t xml:space="preserve">2. Scope of Work – Electrical Engineer Services</w:t>
      </w:r>
    </w:p>
    <w:p>
      <w:pPr>
        <w:pStyle w:val="FirstParagraph"/>
      </w:pPr>
      <w:r>
        <w:t xml:space="preserve">As the appointed</w:t>
      </w:r>
      <w:r>
        <w:t xml:space="preserve"> </w:t>
      </w:r>
      <w:r>
        <w:t xml:space="preserve">Electrical Engineer</w:t>
      </w:r>
      <w:r>
        <w:t xml:space="preserve"> </w:t>
      </w:r>
      <w:r>
        <w:t xml:space="preserve">for this project, Meridian Electrical Engineering Pte. Ltd. shall provide the following professional services in accordance with the Singapore Standards (SS), the Electricity Act 1991, and the guidelines issued by the Energy Market Authority (EMA) and the Building and Construction Authority (BCA) of</w:t>
      </w:r>
      <w:r>
        <w:t xml:space="preserve"> </w:t>
      </w:r>
      <w:r>
        <w:t xml:space="preserve">Singapore Singapore</w:t>
      </w:r>
      <w:r>
        <w:t xml:space="preserve">:</w:t>
      </w:r>
    </w:p>
    <w:p>
      <w:pPr>
        <w:numPr>
          <w:ilvl w:val="0"/>
          <w:numId w:val="1001"/>
        </w:numPr>
        <w:pStyle w:val="Compact"/>
      </w:pPr>
      <w:r>
        <w:t xml:space="preserve">Complete electrical load calculations and power demand analysis for all floors and common areas of the development.</w:t>
      </w:r>
    </w:p>
    <w:p>
      <w:pPr>
        <w:numPr>
          <w:ilvl w:val="0"/>
          <w:numId w:val="1001"/>
        </w:numPr>
        <w:pStyle w:val="Compact"/>
      </w:pPr>
      <w:r>
        <w:t xml:space="preserve">Design of the main electrical distribution system, including incoming supply, main switchboard, distribution boards, and sub-distribution panels.</w:t>
      </w:r>
    </w:p>
    <w:p>
      <w:pPr>
        <w:numPr>
          <w:ilvl w:val="0"/>
          <w:numId w:val="1001"/>
        </w:numPr>
        <w:pStyle w:val="Compact"/>
      </w:pPr>
      <w:r>
        <w:t xml:space="preserve">Lighting design and energy efficiency planning compliant with BCA Green Mark requirements for</w:t>
      </w:r>
      <w:r>
        <w:t xml:space="preserve"> </w:t>
      </w:r>
      <w:r>
        <w:t xml:space="preserve">Singapore Singapore</w:t>
      </w:r>
      <w:r>
        <w:t xml:space="preserve">.</w:t>
      </w:r>
    </w:p>
    <w:p>
      <w:pPr>
        <w:numPr>
          <w:ilvl w:val="0"/>
          <w:numId w:val="1001"/>
        </w:numPr>
        <w:pStyle w:val="Compact"/>
      </w:pPr>
      <w:r>
        <w:t xml:space="preserve">Design of the emergency power system, including standby generator sizing, automatic transfer switch (ATS) configuration, and emergency lighting circuits.</w:t>
      </w:r>
    </w:p>
    <w:p>
      <w:pPr>
        <w:numPr>
          <w:ilvl w:val="0"/>
          <w:numId w:val="1001"/>
        </w:numPr>
        <w:pStyle w:val="Compact"/>
      </w:pPr>
      <w:r>
        <w:t xml:space="preserve">Earthing and lightning protection system design in compliance with SS 638 and IEC 62305 standards.</w:t>
      </w:r>
    </w:p>
    <w:p>
      <w:pPr>
        <w:numPr>
          <w:ilvl w:val="0"/>
          <w:numId w:val="1001"/>
        </w:numPr>
        <w:pStyle w:val="Compact"/>
      </w:pPr>
      <w:r>
        <w:t xml:space="preserve">Fire alarm and detection system design, including interface with the Building Management System (BMS).</w:t>
      </w:r>
    </w:p>
    <w:p>
      <w:pPr>
        <w:numPr>
          <w:ilvl w:val="0"/>
          <w:numId w:val="1001"/>
        </w:numPr>
        <w:pStyle w:val="Compact"/>
      </w:pPr>
      <w:r>
        <w:t xml:space="preserve">Low-voltage power and data cabling design for structured cabling, security systems, and building automation.</w:t>
      </w:r>
    </w:p>
    <w:p>
      <w:pPr>
        <w:numPr>
          <w:ilvl w:val="0"/>
          <w:numId w:val="1001"/>
        </w:numPr>
        <w:pStyle w:val="Compact"/>
      </w:pPr>
      <w:r>
        <w:t xml:space="preserve">Preparation of all statutory submission drawings and documentation for approval by the relevant authorities in</w:t>
      </w:r>
      <w:r>
        <w:t xml:space="preserve"> </w:t>
      </w:r>
      <w:r>
        <w:t xml:space="preserve">Singapore Singapore</w:t>
      </w:r>
      <w:r>
        <w:t xml:space="preserve">.</w:t>
      </w:r>
    </w:p>
    <w:p>
      <w:pPr>
        <w:numPr>
          <w:ilvl w:val="0"/>
          <w:numId w:val="1001"/>
        </w:numPr>
        <w:pStyle w:val="Compact"/>
      </w:pPr>
      <w:r>
        <w:t xml:space="preserve">Site supervision and quality assurance during the electrical installation phase.</w:t>
      </w:r>
    </w:p>
    <w:p>
      <w:pPr>
        <w:numPr>
          <w:ilvl w:val="0"/>
          <w:numId w:val="1001"/>
        </w:numPr>
        <w:pStyle w:val="Compact"/>
      </w:pPr>
      <w:r>
        <w:t xml:space="preserve">Commissioning, testing, and handover documentation including as-built drawings and operation manuals.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Electrical load study and power demand analysis</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Main electrical distribution system design (including switchboard schedules)</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t xml:space="preserve">Lighting design and energy modelling (BCA Green Mark compliant)</w:t>
            </w:r>
          </w:p>
        </w:tc>
        <w:tc>
          <w:tcPr/>
          <w:p>
            <w:pPr>
              <w:pStyle w:val="Compact"/>
              <w:jc w:val="left"/>
            </w:pPr>
            <w:r>
              <w:t xml:space="preserve">Lot</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4</w:t>
            </w:r>
          </w:p>
        </w:tc>
        <w:tc>
          <w:tcPr/>
          <w:p>
            <w:pPr>
              <w:pStyle w:val="Compact"/>
              <w:jc w:val="left"/>
            </w:pPr>
            <w:r>
              <w:t xml:space="preserve">Emergency power and standby generator system design</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Earthing, lightning protection, and surge protection design</w:t>
            </w:r>
          </w:p>
        </w:tc>
        <w:tc>
          <w:tcPr/>
          <w:p>
            <w:pPr>
              <w:pStyle w:val="Compact"/>
              <w:jc w:val="left"/>
            </w:pPr>
            <w:r>
              <w:t xml:space="preserve">Lot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6</w:t>
            </w:r>
          </w:p>
        </w:tc>
        <w:tc>
          <w:tcPr/>
          <w:p>
            <w:pPr>
              <w:pStyle w:val="Compact"/>
              <w:jc w:val="left"/>
            </w:pPr>
            <w:r>
              <w:t xml:space="preserve">Fire alarm and detection system design</w:t>
            </w:r>
          </w:p>
        </w:tc>
        <w:tc>
          <w:tcPr/>
          <w:p>
            <w:pPr>
              <w:pStyle w:val="Compact"/>
              <w:jc w:val="left"/>
            </w:pPr>
            <w:r>
              <w:t xml:space="preserve">Lot</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7</w:t>
            </w:r>
          </w:p>
        </w:tc>
        <w:tc>
          <w:tcPr/>
          <w:p>
            <w:pPr>
              <w:pStyle w:val="Compact"/>
              <w:jc w:val="left"/>
            </w:pPr>
            <w:r>
              <w:t xml:space="preserve">Structured cabling and BMS interface design</w:t>
            </w:r>
          </w:p>
        </w:tc>
        <w:tc>
          <w:tcPr/>
          <w:p>
            <w:pPr>
              <w:pStyle w:val="Compact"/>
              <w:jc w:val="left"/>
            </w:pPr>
            <w:r>
              <w:t xml:space="preserve">Lot</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8</w:t>
            </w:r>
          </w:p>
        </w:tc>
        <w:tc>
          <w:tcPr/>
          <w:p>
            <w:pPr>
              <w:pStyle w:val="Compact"/>
              <w:jc w:val="left"/>
            </w:pPr>
            <w:r>
              <w:t xml:space="preserve">Statutory submission and authority liaison (EMA, BCA, PUB)</w:t>
            </w:r>
          </w:p>
        </w:tc>
        <w:tc>
          <w:tcPr/>
          <w:p>
            <w:pPr>
              <w:pStyle w:val="Compact"/>
              <w:jc w:val="left"/>
            </w:pPr>
            <w:r>
              <w:t xml:space="preserve">Lot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9</w:t>
            </w:r>
          </w:p>
        </w:tc>
        <w:tc>
          <w:tcPr/>
          <w:p>
            <w:pPr>
              <w:pStyle w:val="Compact"/>
              <w:jc w:val="left"/>
            </w:pPr>
            <w:r>
              <w:t xml:space="preserve">Site supervision and quality assurance (estimated 18 months)</w:t>
            </w:r>
          </w:p>
        </w:tc>
        <w:tc>
          <w:tcPr/>
          <w:p>
            <w:pPr>
              <w:pStyle w:val="Compact"/>
              <w:jc w:val="left"/>
            </w:pPr>
            <w:r>
              <w:t xml:space="preserve">Month</w:t>
            </w:r>
          </w:p>
        </w:tc>
        <w:tc>
          <w:tcPr/>
          <w:p>
            <w:pPr>
              <w:pStyle w:val="Compact"/>
              <w:jc w:val="left"/>
            </w:pPr>
            <w:r>
              <w:t xml:space="preserve">6,800.00</w:t>
            </w:r>
          </w:p>
        </w:tc>
        <w:tc>
          <w:tcPr/>
          <w:p>
            <w:pPr>
              <w:pStyle w:val="Compact"/>
              <w:jc w:val="left"/>
            </w:pPr>
            <w:r>
              <w:t xml:space="preserve">122,400.00</w:t>
            </w:r>
          </w:p>
        </w:tc>
      </w:tr>
      <w:tr>
        <w:tc>
          <w:tcPr/>
          <w:p>
            <w:pPr>
              <w:pStyle w:val="Compact"/>
              <w:jc w:val="left"/>
            </w:pPr>
            <w:r>
              <w:t xml:space="preserve">10</w:t>
            </w:r>
          </w:p>
        </w:tc>
        <w:tc>
          <w:tcPr/>
          <w:p>
            <w:pPr>
              <w:pStyle w:val="Compact"/>
              <w:jc w:val="left"/>
            </w:pPr>
            <w:r>
              <w:t xml:space="preserve">Commissioning, testing, and as-built documentation</w:t>
            </w:r>
          </w:p>
        </w:tc>
        <w:tc>
          <w:tcPr/>
          <w:p>
            <w:pPr>
              <w:pStyle w:val="Compact"/>
              <w:jc w:val="left"/>
            </w:pPr>
            <w:r>
              <w:t xml:space="preserve">Lot</w:t>
            </w:r>
          </w:p>
        </w:tc>
        <w:tc>
          <w:tcPr/>
          <w:p>
            <w:pPr>
              <w:pStyle w:val="Compact"/>
              <w:jc w:val="left"/>
            </w:pPr>
            <w:r>
              <w:t xml:space="preserve">18,000.00</w:t>
            </w:r>
          </w:p>
        </w:tc>
        <w:tc>
          <w:tcPr/>
          <w:p>
            <w:pPr>
              <w:pStyle w:val="Compact"/>
              <w:jc w:val="left"/>
            </w:pPr>
            <w:r>
              <w:t xml:space="preserve">18,000.00</w:t>
            </w:r>
          </w:p>
        </w:tc>
      </w:tr>
      <w:tr>
        <w:tc>
          <w:tcPr>
            <w:gridSpan w:val="4"/>
          </w:tcPr>
          <w:p>
            <w:pPr>
              <w:pStyle w:val="Compact"/>
              <w:jc w:val="right"/>
            </w:pPr>
            <w:r>
              <w:t xml:space="preserve">Subtotal</w:t>
            </w:r>
          </w:p>
        </w:tc>
        <w:tc>
          <w:tcPr/>
          <w:p>
            <w:pPr>
              <w:pStyle w:val="Compact"/>
              <w:jc w:val="left"/>
            </w:pPr>
            <w:r>
              <w:t xml:space="preserve">239,200.00</w:t>
            </w:r>
          </w:p>
        </w:tc>
      </w:tr>
      <w:tr>
        <w:tc>
          <w:tcPr>
            <w:gridSpan w:val="4"/>
          </w:tcPr>
          <w:p>
            <w:pPr>
              <w:pStyle w:val="Compact"/>
              <w:jc w:val="right"/>
            </w:pPr>
            <w:r>
              <w:t xml:space="preserve">GST @ 9%</w:t>
            </w:r>
          </w:p>
        </w:tc>
        <w:tc>
          <w:tcPr/>
          <w:p>
            <w:pPr>
              <w:pStyle w:val="Compact"/>
              <w:jc w:val="left"/>
            </w:pPr>
            <w:r>
              <w:t xml:space="preserve">21,528.00</w:t>
            </w:r>
          </w:p>
        </w:tc>
      </w:tr>
      <w:tr>
        <w:tc>
          <w:tcPr>
            <w:gridSpan w:val="4"/>
          </w:tcPr>
          <w:p>
            <w:pPr>
              <w:pStyle w:val="Compact"/>
              <w:jc w:val="right"/>
            </w:pPr>
            <w:r>
              <w:t xml:space="preserve">TOTAL AMOUNT (SGD)</w:t>
            </w:r>
          </w:p>
        </w:tc>
        <w:tc>
          <w:tcPr/>
          <w:p>
            <w:pPr>
              <w:pStyle w:val="Compact"/>
              <w:jc w:val="left"/>
            </w:pPr>
            <w:r>
              <w:t xml:space="preserve">260,728.00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payment milestones: 20% upon execution of the engagement letter, 30% upon completion of design and statutory approval, 40% in monthly instalments during the site supervision phase, and 10% upon final commissioning and handover. All payments are due within 30 days of invoice issuance. Late payments shall attract interest at the rate of 2% per month as stipulated under the Building and Construction Industry Security of Payment Act (BSO) of</w:t>
      </w:r>
      <w:r>
        <w:t xml:space="preserve"> </w:t>
      </w:r>
      <w:r>
        <w:t xml:space="preserve">Singapore Singapore</w:t>
      </w:r>
      <w:r>
        <w:t xml:space="preserve">.</w:t>
      </w:r>
    </w:p>
    <w:bookmarkEnd w:id="24"/>
    <w:bookmarkStart w:id="25" w:name="project-timeline"/>
    <w:p>
      <w:pPr>
        <w:pStyle w:val="Heading2"/>
      </w:pPr>
      <w:r>
        <w:t xml:space="preserve">5. Project Timeline</w:t>
      </w:r>
    </w:p>
    <w:p>
      <w:pPr>
        <w:pStyle w:val="FirstParagraph"/>
      </w:pPr>
      <w:r>
        <w:t xml:space="preserve">The</w:t>
      </w:r>
      <w:r>
        <w:t xml:space="preserve"> </w:t>
      </w:r>
      <w:r>
        <w:t xml:space="preserve">Electrical Engineer</w:t>
      </w:r>
      <w:r>
        <w:t xml:space="preserve"> </w:t>
      </w:r>
      <w:r>
        <w:t xml:space="preserve">services shall be delivered over an estimated period of 20 months from the date of contract execution. The design and statutory submission phase is expected to be completed within the first 4 months, followed by 18 months of site supervision concurrent with the main contractor's electrical installation works. The project schedule is subject to the overall construction programme approved by the client and the relevant authorities in</w:t>
      </w:r>
      <w:r>
        <w:t xml:space="preserve"> </w:t>
      </w:r>
      <w:r>
        <w:t xml:space="preserve">Singapore Singapore</w:t>
      </w:r>
      <w:r>
        <w:t xml:space="preserv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calendar days from the date of issue. Beyond this period, pricing may be revised to reflect market conditions in</w:t>
      </w:r>
      <w:r>
        <w:t xml:space="preserve"> </w:t>
      </w:r>
      <w:r>
        <w:t xml:space="preserve">Singapore Singapore</w:t>
      </w:r>
      <w:r>
        <w:t xml:space="preserve">.</w:t>
      </w:r>
    </w:p>
    <w:p>
      <w:pPr>
        <w:numPr>
          <w:ilvl w:val="0"/>
          <w:numId w:val="1002"/>
        </w:numPr>
        <w:pStyle w:val="Compact"/>
      </w:pPr>
      <w:r>
        <w:t xml:space="preserve">All designs and documentation produced by the</w:t>
      </w:r>
      <w:r>
        <w:t xml:space="preserve"> </w:t>
      </w:r>
      <w:r>
        <w:t xml:space="preserve">Electrical Engineer</w:t>
      </w:r>
      <w:r>
        <w:t xml:space="preserve"> </w:t>
      </w:r>
      <w:r>
        <w:t xml:space="preserve">shall remain the intellectual property of Meridian Electrical Engineering Pte. Ltd. until full payment is received.</w:t>
      </w:r>
    </w:p>
    <w:p>
      <w:pPr>
        <w:numPr>
          <w:ilvl w:val="0"/>
          <w:numId w:val="1002"/>
        </w:numPr>
        <w:pStyle w:val="Compact"/>
      </w:pPr>
      <w:r>
        <w:t xml:space="preserve">The</w:t>
      </w:r>
      <w:r>
        <w:t xml:space="preserve"> </w:t>
      </w:r>
      <w:r>
        <w:t xml:space="preserve">Electrical Engineer</w:t>
      </w:r>
      <w:r>
        <w:t xml:space="preserve"> </w:t>
      </w:r>
      <w:r>
        <w:t xml:space="preserve">shall carry professional indemnity insurance with a minimum coverage of SGD 5,000,000 per occurrence, as required for registered professionals practising in</w:t>
      </w:r>
      <w:r>
        <w:t xml:space="preserve"> </w:t>
      </w:r>
      <w:r>
        <w:t xml:space="preserve">Singapore Singapore</w:t>
      </w:r>
      <w:r>
        <w:t xml:space="preserve">.</w:t>
      </w:r>
    </w:p>
    <w:p>
      <w:pPr>
        <w:numPr>
          <w:ilvl w:val="0"/>
          <w:numId w:val="1002"/>
        </w:numPr>
        <w:pStyle w:val="Compact"/>
      </w:pPr>
      <w:r>
        <w:t xml:space="preserve">Any variation in scope beyond 10% of the original</w:t>
      </w:r>
      <w:r>
        <w:t xml:space="preserve"> </w:t>
      </w:r>
      <w:r>
        <w:t xml:space="preserve">Quotation Estimate</w:t>
      </w:r>
      <w:r>
        <w:t xml:space="preserve"> </w:t>
      </w:r>
      <w:r>
        <w:t xml:space="preserve">value shall require a written variation order signed by both parties.</w:t>
      </w:r>
    </w:p>
    <w:p>
      <w:pPr>
        <w:numPr>
          <w:ilvl w:val="0"/>
          <w:numId w:val="1002"/>
        </w:numPr>
        <w:pStyle w:val="Compact"/>
      </w:pPr>
      <w:r>
        <w:t xml:space="preserve">This engagement is governed by the laws of the Republic of Singapore, and any disputes shall be resolved through arbitration under the rules of the Singapore International Arbitration Centre (SIAC).</w:t>
      </w:r>
    </w:p>
    <w:p>
      <w:pPr>
        <w:numPr>
          <w:ilvl w:val="0"/>
          <w:numId w:val="1002"/>
        </w:numPr>
        <w:pStyle w:val="Compact"/>
      </w:pPr>
      <w:r>
        <w:t xml:space="preserve">The</w:t>
      </w:r>
      <w:r>
        <w:t xml:space="preserve"> </w:t>
      </w:r>
      <w:r>
        <w:t xml:space="preserve">Electrical Engineer</w:t>
      </w:r>
      <w:r>
        <w:t xml:space="preserve"> </w:t>
      </w:r>
      <w:r>
        <w:t xml:space="preserve">shall comply with all applicable health, safety, and environmental regulations in force in</w:t>
      </w:r>
      <w:r>
        <w:t xml:space="preserve"> </w:t>
      </w:r>
      <w:r>
        <w:t xml:space="preserve">Singapore Singapore</w:t>
      </w:r>
      <w:r>
        <w:t xml:space="preserve"> </w:t>
      </w:r>
      <w:r>
        <w:t xml:space="preserve">throughout the duration of the project.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and pricing as stated. The engagement of the</w:t>
      </w:r>
      <w:r>
        <w:t xml:space="preserve"> </w:t>
      </w:r>
      <w:r>
        <w:t xml:space="preserve">Electrical Engineer</w:t>
      </w:r>
      <w:r>
        <w:t xml:space="preserve"> </w:t>
      </w:r>
      <w:r>
        <w:t xml:space="preserve">shall commence upon receipt of the initial payment and execution of the formal contract document.</w:t>
      </w:r>
    </w:p>
    <w:p>
      <w:pPr>
        <w:pStyle w:val="BodyText"/>
      </w:pPr>
      <w:r>
        <w:rPr>
          <w:bCs/>
          <w:b/>
        </w:rPr>
        <w:t xml:space="preserve">For and on behalf of</w:t>
      </w:r>
      <w:r>
        <w:br/>
      </w:r>
      <w:r>
        <w:t xml:space="preserve">Meridian Electrical Engineering Pte. Ltd.</w:t>
      </w:r>
    </w:p>
    <w:p>
      <w:pPr>
        <w:pStyle w:val="BodyText"/>
      </w:pPr>
      <w:r>
        <w:t xml:space="preserve">Name: Eng. Rajesh Kumar</w:t>
      </w:r>
      <w:r>
        <w:br/>
      </w:r>
      <w:r>
        <w:t xml:space="preserve">Designation: Principal Electrical Engineer</w:t>
      </w:r>
      <w:r>
        <w:br/>
      </w:r>
      <w:r>
        <w:t xml:space="preserve">Registration No.: CPE(S) 12345</w:t>
      </w:r>
      <w:r>
        <w:br/>
      </w:r>
      <w:r>
        <w:t xml:space="preserve">Date: _______________</w:t>
      </w:r>
    </w:p>
    <w:p>
      <w:pPr>
        <w:pStyle w:val="BodyText"/>
      </w:pPr>
      <w:r>
        <w:rPr>
          <w:bCs/>
          <w:b/>
        </w:rPr>
        <w:t xml:space="preserve">For and on behalf of</w:t>
      </w:r>
      <w:r>
        <w:br/>
      </w:r>
      <w:r>
        <w:t xml:space="preserve">Horizon Commercial Developments Pte. Ltd.</w:t>
      </w:r>
    </w:p>
    <w:p>
      <w:pPr>
        <w:pStyle w:val="BodyText"/>
      </w:pPr>
      <w:r>
        <w:t xml:space="preserve">Name: _________________________</w:t>
      </w:r>
      <w:r>
        <w:br/>
      </w:r>
      <w:r>
        <w:t xml:space="preserve">Designation: _________________________</w:t>
      </w:r>
      <w:r>
        <w:br/>
      </w:r>
      <w:r>
        <w:t xml:space="preserve">Date: _______________</w:t>
      </w:r>
    </w:p>
    <w:p>
      <w:pPr>
        <w:pStyle w:val="BodyText"/>
      </w:pPr>
      <w:r>
        <w:rPr>
          <w:bCs/>
          <w:b/>
        </w:rPr>
        <w:t xml:space="preserve">Important Notice:</w:t>
      </w:r>
      <w:r>
        <w:t xml:space="preserve"> </w:t>
      </w:r>
      <w:r>
        <w:t xml:space="preserve">This Quotation Estimate is prepared specifically for the project located in Singapore Singapore and is not transferable to any other party or jurisdiction. All rates are inclusive of the</w:t>
      </w:r>
      <w:r>
        <w:t xml:space="preserve"> </w:t>
      </w:r>
      <w:r>
        <w:t xml:space="preserve">Electrical Engineer</w:t>
      </w:r>
      <w:r>
        <w:t xml:space="preserve">'s professional fees, travel within Singapore, and standard software licensing costs. Any additional site visits outside the project location or expedited statutory submissions shall be charged separately as per the prevailing rate card. Please direct all enquiries regarding this Quotation Estimate to the undersigned at the contact details provided above.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Singapore Singapore</dc:title>
  <dc:creator/>
  <dc:language>en</dc:language>
  <cp:keywords/>
  <dcterms:created xsi:type="dcterms:W3CDTF">2026-10-10T01:55:27Z</dcterms:created>
  <dcterms:modified xsi:type="dcterms:W3CDTF">2026-10-10T01:55:27Z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