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bayerische-elektro-service-gmbh"/>
    <w:p>
      <w:pPr>
        <w:pStyle w:val="Heading1"/>
      </w:pPr>
      <w:r>
        <w:t xml:space="preserve">Bayerische Elektro-Service GmbH</w:t>
      </w:r>
    </w:p>
    <w:p>
      <w:pPr>
        <w:pStyle w:val="FirstParagraph"/>
      </w:pPr>
      <w:r>
        <w:t xml:space="preserve">Maximilianstraße 142, 80539 Munich, Germany</w:t>
      </w:r>
    </w:p>
    <w:p>
      <w:pPr>
        <w:pStyle w:val="BodyText"/>
      </w:pPr>
      <w:r>
        <w:t xml:space="preserve">Phone: +49 89 1234 5678 | Email: info@bayerische-elektro.de</w:t>
      </w:r>
    </w:p>
    <w:p>
      <w:pPr>
        <w:pStyle w:val="BodyText"/>
      </w:pPr>
      <w:r>
        <w:t xml:space="preserve">USt-IdNr.: DE 123 456 789 | Handwerksrolle Nr.: 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Munich, Germany</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Dr. Heinrich Müller</w:t>
      </w:r>
    </w:p>
    <w:p>
      <w:pPr>
        <w:pStyle w:val="BodyText"/>
      </w:pPr>
      <w:r>
        <w:rPr>
          <w:bCs/>
          <w:b/>
        </w:rPr>
        <w:t xml:space="preserve">Address:</w:t>
      </w:r>
      <w:r>
        <w:t xml:space="preserve"> </w:t>
      </w:r>
      <w:r>
        <w:t xml:space="preserve">Leopoldstraße 88, 80802 Munich, Germany</w:t>
      </w:r>
    </w:p>
    <w:p>
      <w:pPr>
        <w:pStyle w:val="BodyText"/>
      </w:pPr>
      <w:r>
        <w:rPr>
          <w:bCs/>
          <w:b/>
        </w:rPr>
        <w:t xml:space="preserve">Phone:</w:t>
      </w:r>
      <w:r>
        <w:t xml:space="preserve"> </w:t>
      </w:r>
      <w:r>
        <w:t xml:space="preserve">+49 89 9876 5432</w:t>
      </w:r>
    </w:p>
    <w:p>
      <w:pPr>
        <w:pStyle w:val="BodyText"/>
      </w:pPr>
      <w:r>
        <w:rPr>
          <w:bCs/>
          <w:b/>
        </w:rPr>
        <w:t xml:space="preserve">Email:</w:t>
      </w:r>
      <w:r>
        <w:t xml:space="preserve"> </w:t>
      </w:r>
      <w:r>
        <w:t xml:space="preserve">h.mueller@email.de</w:t>
      </w:r>
    </w:p>
    <w:bookmarkEnd w:id="22"/>
    <w:p>
      <w:pPr>
        <w:pStyle w:val="BodyText"/>
      </w:pPr>
      <w:r>
        <w:rPr>
          <w:bCs/>
          <w:b/>
        </w:rPr>
        <w:t xml:space="preserve">Important:</w:t>
      </w:r>
      <w:r>
        <w:t xml:space="preserve"> </w:t>
      </w:r>
      <w:r>
        <w:t xml:space="preserve">This Quotation Estimate is valid for 30 calendar days from the date of issue. Prices are subject to change after the validity period. All rates comply with the current tariff regulations applicable in Germany Munich.</w:t>
      </w:r>
    </w:p>
    <w:bookmarkStart w:id="23" w:name="scope-of-work-electrician-services"/>
    <w:p>
      <w:pPr>
        <w:pStyle w:val="Heading2"/>
      </w:pPr>
      <w:r>
        <w:t xml:space="preserve">1. Scope of Work – Electrician Services</w:t>
      </w:r>
    </w:p>
    <w:p>
      <w:pPr>
        <w:pStyle w:val="FirstParagraph"/>
      </w:pPr>
      <w:r>
        <w:t xml:space="preserve">This Quotation Estimate is issued by Bayerische Elektro-Service GmbH, a licensed and certified Electrician firm registered in the Munich Chamber of Crafts (Handwerkskammer für München und Oberbayern), to provide comprehensive electrical installation, inspection, and maintenance services at the client's residential property located in Germany Munich. The Electrician team will perform all work in strict accordance with the German Electrical Installation Standard (DIN VDE 0100) and all applicable federal and Bavarian state regulations governing electrical safety and installation practices.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Complete electrical safety inspection and condition assessment of the existing installation (DIN VDE 0100-601)</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85.50</w:t>
            </w:r>
          </w:p>
        </w:tc>
      </w:tr>
      <w:tr>
        <w:tc>
          <w:tcPr/>
          <w:p>
            <w:pPr>
              <w:pStyle w:val="Compact"/>
              <w:jc w:val="left"/>
            </w:pPr>
            <w:r>
              <w:t xml:space="preserve">2</w:t>
            </w:r>
          </w:p>
        </w:tc>
        <w:tc>
          <w:tcPr/>
          <w:p>
            <w:pPr>
              <w:pStyle w:val="Compact"/>
              <w:jc w:val="left"/>
            </w:pPr>
            <w:r>
              <w:t xml:space="preserve">Replacement of outdated distribution board (Zählerplatz) with modern RCD-protected consumer unit, including 12 circuits</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351.50</w:t>
            </w:r>
          </w:p>
        </w:tc>
      </w:tr>
      <w:tr>
        <w:tc>
          <w:tcPr/>
          <w:p>
            <w:pPr>
              <w:pStyle w:val="Compact"/>
              <w:jc w:val="left"/>
            </w:pPr>
            <w:r>
              <w:t xml:space="preserve">3</w:t>
            </w:r>
          </w:p>
        </w:tc>
        <w:tc>
          <w:tcPr/>
          <w:p>
            <w:pPr>
              <w:pStyle w:val="Compact"/>
              <w:jc w:val="left"/>
            </w:pPr>
            <w:r>
              <w:t xml:space="preserve">Installation of new three-phase power supply connection (400V/230V) with main switch and surge protection</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418.00</w:t>
            </w:r>
          </w:p>
        </w:tc>
      </w:tr>
      <w:tr>
        <w:tc>
          <w:tcPr/>
          <w:p>
            <w:pPr>
              <w:pStyle w:val="Compact"/>
              <w:jc w:val="left"/>
            </w:pPr>
            <w:r>
              <w:t xml:space="preserve">4</w:t>
            </w:r>
          </w:p>
        </w:tc>
        <w:tc>
          <w:tcPr/>
          <w:p>
            <w:pPr>
              <w:pStyle w:val="Compact"/>
              <w:jc w:val="left"/>
            </w:pPr>
            <w:r>
              <w:t xml:space="preserve">Wiring and installation of 24 new socket outlets (Schutzkontaktsteckdosen) and 18 light switches throughout the apartment</w:t>
            </w:r>
          </w:p>
        </w:tc>
        <w:tc>
          <w:tcPr/>
          <w:p>
            <w:pPr>
              <w:pStyle w:val="Compact"/>
              <w:jc w:val="left"/>
            </w:pPr>
            <w:r>
              <w:t xml:space="preserve">42 units</w:t>
            </w:r>
          </w:p>
        </w:tc>
        <w:tc>
          <w:tcPr/>
          <w:p>
            <w:pPr>
              <w:pStyle w:val="Compact"/>
              <w:jc w:val="left"/>
            </w:pPr>
            <w:r>
              <w:t xml:space="preserve">65.00</w:t>
            </w:r>
          </w:p>
        </w:tc>
        <w:tc>
          <w:tcPr/>
          <w:p>
            <w:pPr>
              <w:pStyle w:val="Compact"/>
              <w:jc w:val="left"/>
            </w:pPr>
            <w:r>
              <w:t xml:space="preserve">2,730.00</w:t>
            </w:r>
          </w:p>
        </w:tc>
        <w:tc>
          <w:tcPr/>
          <w:p>
            <w:pPr>
              <w:pStyle w:val="Compact"/>
              <w:jc w:val="left"/>
            </w:pPr>
            <w:r>
              <w:t xml:space="preserve">518.70</w:t>
            </w:r>
          </w:p>
        </w:tc>
      </w:tr>
      <w:tr>
        <w:tc>
          <w:tcPr/>
          <w:p>
            <w:pPr>
              <w:pStyle w:val="Compact"/>
              <w:jc w:val="left"/>
            </w:pPr>
            <w:r>
              <w:t xml:space="preserve">5</w:t>
            </w:r>
          </w:p>
        </w:tc>
        <w:tc>
          <w:tcPr/>
          <w:p>
            <w:pPr>
              <w:pStyle w:val="Compact"/>
              <w:jc w:val="left"/>
            </w:pPr>
            <w:r>
              <w:t xml:space="preserve">Installation of LED lighting fixtures (12 downlights, 4 pendant lights) with dimmer circuits</w:t>
            </w:r>
          </w:p>
        </w:tc>
        <w:tc>
          <w:tcPr/>
          <w:p>
            <w:pPr>
              <w:pStyle w:val="Compact"/>
              <w:jc w:val="left"/>
            </w:pPr>
            <w:r>
              <w:t xml:space="preserve">16 units</w:t>
            </w:r>
          </w:p>
        </w:tc>
        <w:tc>
          <w:tcPr/>
          <w:p>
            <w:pPr>
              <w:pStyle w:val="Compact"/>
              <w:jc w:val="left"/>
            </w:pPr>
            <w:r>
              <w:t xml:space="preserve">120.00</w:t>
            </w:r>
          </w:p>
        </w:tc>
        <w:tc>
          <w:tcPr/>
          <w:p>
            <w:pPr>
              <w:pStyle w:val="Compact"/>
              <w:jc w:val="left"/>
            </w:pPr>
            <w:r>
              <w:t xml:space="preserve">1,920.00</w:t>
            </w:r>
          </w:p>
        </w:tc>
        <w:tc>
          <w:tcPr/>
          <w:p>
            <w:pPr>
              <w:pStyle w:val="Compact"/>
              <w:jc w:val="left"/>
            </w:pPr>
            <w:r>
              <w:t xml:space="preserve">364.80</w:t>
            </w:r>
          </w:p>
        </w:tc>
      </w:tr>
      <w:tr>
        <w:tc>
          <w:tcPr/>
          <w:p>
            <w:pPr>
              <w:pStyle w:val="Compact"/>
              <w:jc w:val="left"/>
            </w:pPr>
            <w:r>
              <w:t xml:space="preserve">6</w:t>
            </w:r>
          </w:p>
        </w:tc>
        <w:tc>
          <w:tcPr/>
          <w:p>
            <w:pPr>
              <w:pStyle w:val="Compact"/>
              <w:jc w:val="left"/>
            </w:pPr>
            <w:r>
              <w:t xml:space="preserve">Installation of electric underfloor heating control system (3 zones) with programmable thermostats</w:t>
            </w:r>
          </w:p>
        </w:tc>
        <w:tc>
          <w:tcPr/>
          <w:p>
            <w:pPr>
              <w:pStyle w:val="Compact"/>
              <w:jc w:val="left"/>
            </w:pPr>
            <w:r>
              <w:t xml:space="preserve">3 zones</w:t>
            </w:r>
          </w:p>
        </w:tc>
        <w:tc>
          <w:tcPr/>
          <w:p>
            <w:pPr>
              <w:pStyle w:val="Compact"/>
              <w:jc w:val="left"/>
            </w:pPr>
            <w:r>
              <w:t xml:space="preserve">680.00</w:t>
            </w:r>
          </w:p>
        </w:tc>
        <w:tc>
          <w:tcPr/>
          <w:p>
            <w:pPr>
              <w:pStyle w:val="Compact"/>
              <w:jc w:val="left"/>
            </w:pPr>
            <w:r>
              <w:t xml:space="preserve">2,040.00</w:t>
            </w:r>
          </w:p>
        </w:tc>
        <w:tc>
          <w:tcPr/>
          <w:p>
            <w:pPr>
              <w:pStyle w:val="Compact"/>
              <w:jc w:val="left"/>
            </w:pPr>
            <w:r>
              <w:t xml:space="preserve">387.60</w:t>
            </w:r>
          </w:p>
        </w:tc>
      </w:tr>
      <w:tr>
        <w:tc>
          <w:tcPr/>
          <w:p>
            <w:pPr>
              <w:pStyle w:val="Compact"/>
              <w:jc w:val="left"/>
            </w:pPr>
            <w:r>
              <w:t xml:space="preserve">7</w:t>
            </w:r>
          </w:p>
        </w:tc>
        <w:tc>
          <w:tcPr/>
          <w:p>
            <w:pPr>
              <w:pStyle w:val="Compact"/>
              <w:jc w:val="left"/>
            </w:pPr>
            <w:r>
              <w:t xml:space="preserve">Earthing and bonding verification, including measurement of earth resistance and potential equalization</w:t>
            </w:r>
          </w:p>
        </w:tc>
        <w:tc>
          <w:tcPr/>
          <w:p>
            <w:pPr>
              <w:pStyle w:val="Compact"/>
              <w:jc w:val="left"/>
            </w:pPr>
            <w:r>
              <w:t xml:space="preserve">1 lot</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72.20</w:t>
            </w:r>
          </w:p>
        </w:tc>
      </w:tr>
      <w:tr>
        <w:tc>
          <w:tcPr/>
          <w:p>
            <w:pPr>
              <w:pStyle w:val="Compact"/>
              <w:jc w:val="left"/>
            </w:pPr>
            <w:r>
              <w:t xml:space="preserve">8</w:t>
            </w:r>
          </w:p>
        </w:tc>
        <w:tc>
          <w:tcPr/>
          <w:p>
            <w:pPr>
              <w:pStyle w:val="Compact"/>
              <w:jc w:val="left"/>
            </w:pPr>
            <w:r>
              <w:t xml:space="preserve">Final commissioning, load testing, and issuance of electrical installation certificate (Stromkreisplan &amp; Prüfprotokoll)</w:t>
            </w:r>
          </w:p>
        </w:tc>
        <w:tc>
          <w:tcPr/>
          <w:p>
            <w:pPr>
              <w:pStyle w:val="Compact"/>
              <w:jc w:val="left"/>
            </w:pPr>
            <w:r>
              <w:t xml:space="preserve">1 lot</w:t>
            </w:r>
          </w:p>
        </w:tc>
        <w:tc>
          <w:tcPr/>
          <w:p>
            <w:pPr>
              <w:pStyle w:val="Compact"/>
              <w:jc w:val="left"/>
            </w:pPr>
            <w:r>
              <w:t xml:space="preserve">520.00</w:t>
            </w:r>
          </w:p>
        </w:tc>
        <w:tc>
          <w:tcPr/>
          <w:p>
            <w:pPr>
              <w:pStyle w:val="Compact"/>
              <w:jc w:val="left"/>
            </w:pPr>
            <w:r>
              <w:t xml:space="preserve">520.00</w:t>
            </w:r>
          </w:p>
        </w:tc>
        <w:tc>
          <w:tcPr/>
          <w:p>
            <w:pPr>
              <w:pStyle w:val="Compact"/>
              <w:jc w:val="left"/>
            </w:pPr>
            <w:r>
              <w:t xml:space="preserve">98.80</w:t>
            </w:r>
          </w:p>
        </w:tc>
      </w:tr>
      <w:tr>
        <w:tc>
          <w:tcPr/>
          <w:p>
            <w:pPr>
              <w:pStyle w:val="Compact"/>
              <w:jc w:val="left"/>
            </w:pPr>
            <w:r>
              <w:t xml:space="preserve">9</w:t>
            </w:r>
          </w:p>
        </w:tc>
        <w:tc>
          <w:tcPr/>
          <w:p>
            <w:pPr>
              <w:pStyle w:val="Compact"/>
              <w:jc w:val="left"/>
            </w:pPr>
            <w:r>
              <w:t xml:space="preserve">Disposal of old electrical materials and hazardous waste in compliance with German environmental regulations</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28.50</w:t>
            </w:r>
          </w:p>
        </w:tc>
      </w:tr>
      <w:tr>
        <w:tc>
          <w:tcPr>
            <w:gridSpan w:val="4"/>
          </w:tcPr>
          <w:p>
            <w:pPr>
              <w:pStyle w:val="Compact"/>
              <w:jc w:val="left"/>
            </w:pPr>
            <w:r>
              <w:t xml:space="preserve">Subtotal (net)</w:t>
            </w:r>
          </w:p>
        </w:tc>
        <w:tc>
          <w:tcPr/>
          <w:p>
            <w:pPr>
              <w:pStyle w:val="Compact"/>
              <w:jc w:val="left"/>
            </w:pPr>
            <w:r>
              <w:t xml:space="preserve">12,240.00</w:t>
            </w:r>
          </w:p>
        </w:tc>
        <w:tc>
          <w:tcPr/>
          <w:p>
            <w:pPr>
              <w:pStyle w:val="Compact"/>
              <w:jc w:val="left"/>
            </w:pPr>
            <w:r>
              <w:t xml:space="preserve">2,325.60</w:t>
            </w:r>
          </w:p>
        </w:tc>
      </w:tr>
      <w:tr>
        <w:tc>
          <w:tcPr>
            <w:gridSpan w:val="4"/>
          </w:tcPr>
          <w:p>
            <w:pPr>
              <w:pStyle w:val="Compact"/>
              <w:jc w:val="left"/>
            </w:pPr>
            <w:r>
              <w:rPr>
                <w:bCs/>
                <w:b/>
              </w:rPr>
              <w:t xml:space="preserve">Grand Total (incl. 19% VAT)</w:t>
            </w:r>
          </w:p>
        </w:tc>
        <w:tc>
          <w:tcPr>
            <w:gridSpan w:val="2"/>
          </w:tcPr>
          <w:p>
            <w:pPr>
              <w:pStyle w:val="Compact"/>
              <w:jc w:val="left"/>
            </w:pPr>
            <w:r>
              <w:rPr>
                <w:bCs/>
                <w:b/>
              </w:rPr>
              <w:t xml:space="preserve">14,565.60 EUR</w:t>
            </w:r>
          </w:p>
        </w:tc>
      </w:tr>
    </w:tbl>
    <w:bookmarkEnd w:id="24"/>
    <w:bookmarkStart w:id="25" w:name="materials-and-equipment"/>
    <w:p>
      <w:pPr>
        <w:pStyle w:val="Heading2"/>
      </w:pPr>
      <w:r>
        <w:t xml:space="preserve">3. Materials and Equipment</w:t>
      </w:r>
    </w:p>
    <w:p>
      <w:pPr>
        <w:pStyle w:val="FirstParagraph"/>
      </w:pPr>
      <w:r>
        <w:t xml:space="preserve">All materials specified in this Quotation Estimate include premium-grade components from certified manufacturers (e.g., ABB, Siemens, Hager, Wago) that meet or exceed the requirements of the German Electrical Engineering Association (VDE). The Electrician team will supply all necessary cables, conduits, junction boxes, circuit breakers, and auxiliary materials. Any additional materials required due to unforeseen site conditions will be documented in a supplementary Quotation Estimate prior to procurement.</w:t>
      </w:r>
    </w:p>
    <w:bookmarkEnd w:id="25"/>
    <w:bookmarkStart w:id="26" w:name="project-timeline"/>
    <w:p>
      <w:pPr>
        <w:pStyle w:val="Heading2"/>
      </w:pPr>
      <w:r>
        <w:t xml:space="preserve">4. Project Timeline</w:t>
      </w:r>
    </w:p>
    <w:p>
      <w:pPr>
        <w:pStyle w:val="FirstParagraph"/>
      </w:pPr>
      <w:r>
        <w:t xml:space="preserve">The Electrician work is estimated to be completed within 10 working days from the date of contract acceptance, subject to site access and material availability. The project schedule for this Germany Munich installation is as follows:</w:t>
      </w:r>
    </w:p>
    <w:p>
      <w:pPr>
        <w:numPr>
          <w:ilvl w:val="0"/>
          <w:numId w:val="1001"/>
        </w:numPr>
        <w:pStyle w:val="Compact"/>
      </w:pPr>
      <w:r>
        <w:rPr>
          <w:bCs/>
          <w:b/>
        </w:rPr>
        <w:t xml:space="preserve">Days 1–2:</w:t>
      </w:r>
      <w:r>
        <w:t xml:space="preserve"> </w:t>
      </w:r>
      <w:r>
        <w:t xml:space="preserve">Site survey, safety inspection, and removal of existing outdated components.</w:t>
      </w:r>
    </w:p>
    <w:p>
      <w:pPr>
        <w:numPr>
          <w:ilvl w:val="0"/>
          <w:numId w:val="1001"/>
        </w:numPr>
        <w:pStyle w:val="Compact"/>
      </w:pPr>
      <w:r>
        <w:rPr>
          <w:bCs/>
          <w:b/>
        </w:rPr>
        <w:t xml:space="preserve">Days 3–5:</w:t>
      </w:r>
      <w:r>
        <w:t xml:space="preserve"> </w:t>
      </w:r>
      <w:r>
        <w:t xml:space="preserve">Installation of new distribution board, main supply connection, and primary wiring.</w:t>
      </w:r>
    </w:p>
    <w:p>
      <w:pPr>
        <w:numPr>
          <w:ilvl w:val="0"/>
          <w:numId w:val="1001"/>
        </w:numPr>
        <w:pStyle w:val="Compact"/>
      </w:pPr>
      <w:r>
        <w:rPr>
          <w:bCs/>
          <w:b/>
        </w:rPr>
        <w:t xml:space="preserve">Days 6–8:</w:t>
      </w:r>
      <w:r>
        <w:t xml:space="preserve"> </w:t>
      </w:r>
      <w:r>
        <w:t xml:space="preserve">Installation of socket outlets, switches, lighting fixtures, and underfloor heating controls.</w:t>
      </w:r>
    </w:p>
    <w:p>
      <w:pPr>
        <w:numPr>
          <w:ilvl w:val="0"/>
          <w:numId w:val="1001"/>
        </w:numPr>
        <w:pStyle w:val="Compact"/>
      </w:pPr>
      <w:r>
        <w:rPr>
          <w:bCs/>
          <w:b/>
        </w:rPr>
        <w:t xml:space="preserve">Days 9–10:</w:t>
      </w:r>
      <w:r>
        <w:t xml:space="preserve"> </w:t>
      </w:r>
      <w:r>
        <w:t xml:space="preserve">Earthing verification, final commissioning, load testing, and documentation handover.</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a non-binding offer until formally accepted in writing by the client. Upon acceptance, it becomes a binding contract between the parties.</w:t>
      </w:r>
    </w:p>
    <w:p>
      <w:pPr>
        <w:numPr>
          <w:ilvl w:val="0"/>
          <w:numId w:val="1002"/>
        </w:numPr>
        <w:pStyle w:val="Compact"/>
      </w:pPr>
      <w:r>
        <w:t xml:space="preserve">Payment terms: 30% deposit upon contract signing, 50% upon completion of primary wiring (Day 5), and 20% upon final commissioning and handover of documentation.</w:t>
      </w:r>
    </w:p>
    <w:p>
      <w:pPr>
        <w:numPr>
          <w:ilvl w:val="0"/>
          <w:numId w:val="1002"/>
        </w:numPr>
        <w:pStyle w:val="Compact"/>
      </w:pPr>
      <w:r>
        <w:t xml:space="preserve">All payments are to be made via bank transfer to the account of Bayerische Elektro-Service GmbH, IBAN: DE89 7002 0500 0009 8765 43, BIC: PBNKDEFF.</w:t>
      </w:r>
    </w:p>
    <w:p>
      <w:pPr>
        <w:numPr>
          <w:ilvl w:val="0"/>
          <w:numId w:val="1002"/>
        </w:numPr>
        <w:pStyle w:val="Compact"/>
      </w:pPr>
      <w:r>
        <w:t xml:space="preserve">The Electrician firm provides a statutory warranty of 5 years on all workmanship and 2 years on all installed materials, in accordance with the German Civil Code (BGB § 634a ff.).</w:t>
      </w:r>
    </w:p>
    <w:p>
      <w:pPr>
        <w:numPr>
          <w:ilvl w:val="0"/>
          <w:numId w:val="1002"/>
        </w:numPr>
        <w:pStyle w:val="Compact"/>
      </w:pPr>
      <w:r>
        <w:t xml:space="preserve">The client is responsible for obtaining all necessary building permits and notifications to the local utility provider (e.g., Bayernwerk AG, E.ON Bayern) prior to the commencement of work in Germany Munich.</w:t>
      </w:r>
    </w:p>
    <w:p>
      <w:pPr>
        <w:numPr>
          <w:ilvl w:val="0"/>
          <w:numId w:val="1002"/>
        </w:numPr>
        <w:pStyle w:val="Compact"/>
      </w:pPr>
      <w:r>
        <w:t xml:space="preserve">Any changes to the scope of work requested by the client after contract acceptance will be subject to a revised Quotation Estimate and mutual written agreement.</w:t>
      </w:r>
    </w:p>
    <w:p>
      <w:pPr>
        <w:numPr>
          <w:ilvl w:val="0"/>
          <w:numId w:val="1002"/>
        </w:numPr>
        <w:pStyle w:val="Compact"/>
      </w:pPr>
      <w:r>
        <w:t xml:space="preserve">This Quotation Estimate is governed by the laws of the Federal Republic of Germany. Any disputes shall be subject to the exclusive jurisdiction of the competent court in Munich, Germany.</w:t>
      </w:r>
    </w:p>
    <w:p>
      <w:pPr>
        <w:numPr>
          <w:ilvl w:val="0"/>
          <w:numId w:val="1002"/>
        </w:numPr>
        <w:pStyle w:val="Compact"/>
      </w:pPr>
      <w:r>
        <w:t xml:space="preserve">The Electrician firm carries full professional liability insurance (Berufshaftpflichtversicherung) with a coverage of €5,000,000 per claim, as required for registered electricians in the Munich region.</w:t>
      </w:r>
    </w:p>
    <w:bookmarkEnd w:id="27"/>
    <w:bookmarkStart w:id="28" w:name="acceptance-and-signatures"/>
    <w:p>
      <w:pPr>
        <w:pStyle w:val="Heading2"/>
      </w:pPr>
      <w:r>
        <w:t xml:space="preserve">6. Acceptance and Signatures</w:t>
      </w:r>
    </w:p>
    <w:p>
      <w:pPr>
        <w:pStyle w:val="FirstParagraph"/>
      </w:pPr>
      <w:r>
        <w:t xml:space="preserve">By signing below, the client acknowledges receipt of this Quotation Estimate and agrees to the terms, conditions, and pricing outlined herein. The Electrician services described will be performed at the specified location in Germany Munich in accordance with all applicable German electrical safety standards and regulations.</w:t>
      </w:r>
    </w:p>
    <w:p>
      <w:pPr>
        <w:pStyle w:val="BodyText"/>
      </w:pPr>
      <w:r>
        <w:rPr>
          <w:bCs/>
          <w:b/>
        </w:rPr>
        <w:t xml:space="preserve">For Bayerische Elektro-Service GmbH</w:t>
      </w:r>
      <w:r>
        <w:br/>
      </w:r>
      <w:r>
        <w:t xml:space="preserve">Name: Thomas Berger, Master Electrician (Meister)</w:t>
      </w:r>
      <w:r>
        <w:br/>
      </w:r>
      <w:r>
        <w:t xml:space="preserve">Signature &amp; Date: _________________________</w:t>
      </w:r>
    </w:p>
    <w:p>
      <w:pPr>
        <w:pStyle w:val="BodyText"/>
      </w:pPr>
      <w:r>
        <w:rPr>
          <w:bCs/>
          <w:b/>
        </w:rPr>
        <w:t xml:space="preserve">For the Client</w:t>
      </w:r>
      <w:r>
        <w:br/>
      </w:r>
      <w:r>
        <w:t xml:space="preserve">Name: Dr. Heinrich Müller</w:t>
      </w:r>
      <w:r>
        <w:br/>
      </w:r>
      <w:r>
        <w:t xml:space="preserve">Signature &amp; Date: _________________________</w:t>
      </w:r>
    </w:p>
    <w:p>
      <w:pPr>
        <w:pStyle w:val="BodyText"/>
      </w:pPr>
      <w:r>
        <w:t xml:space="preserve">Bayerische Elektro-Service GmbH | Maximilianstraße 142, 80539 Munich, Germany | USt-IdNr.: DE 123 456 789</w:t>
      </w:r>
    </w:p>
    <w:p>
      <w:pPr>
        <w:pStyle w:val="BodyText"/>
      </w:pPr>
      <w:r>
        <w:t xml:space="preserve">Registered at the Amtsgericht München, HRB 45678 | Handwerkskammer für München und Oberbayern</w:t>
      </w:r>
    </w:p>
    <w:p>
      <w:pPr>
        <w:pStyle w:val="BodyText"/>
      </w:pPr>
      <w:r>
        <w:t xml:space="preserve">This Quotation Estimate document QE-2025-0847 is valid until 15 July 2025. All prices are in EUR and include applicable German VAT at 19%.</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Germany Munich</dc:title>
  <dc:creator/>
  <dc:language>en</dc:language>
  <cp:keywords/>
  <dcterms:created xsi:type="dcterms:W3CDTF">2026-10-10T03:43:02Z</dcterms:created>
  <dcterms:modified xsi:type="dcterms:W3CDTF">2026-10-10T03:43:02Z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