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Electrician Services — Japan Osaka</w:t>
      </w:r>
    </w:p>
    <w:p>
      <w:pPr>
        <w:pStyle w:val="BodyText"/>
      </w:pPr>
      <w:r>
        <w:t xml:space="preserve">Document Reference: QE-OSK-2025-04187</w:t>
      </w:r>
    </w:p>
    <w:bookmarkEnd w:id="20"/>
    <w:p>
      <w:pPr>
        <w:pStyle w:val="BodyText"/>
      </w:pPr>
      <w:r>
        <w:rPr>
          <w:bCs/>
          <w:b/>
        </w:rPr>
        <w:t xml:space="preserve">Date of Issue:</w:t>
      </w:r>
      <w:r>
        <w:t xml:space="preserve"> </w:t>
      </w:r>
      <w:r>
        <w:t xml:space="preserve">18 June 2025</w:t>
      </w:r>
      <w:r>
        <w:t xml:space="preserve"> </w:t>
      </w:r>
      <w:r>
        <w:rPr>
          <w:bCs/>
          <w:b/>
        </w:rPr>
        <w:t xml:space="preserve">Valid Until:</w:t>
      </w:r>
      <w:r>
        <w:t xml:space="preserve"> </w:t>
      </w:r>
      <w:r>
        <w:t xml:space="preserve">18 July 2025</w:t>
      </w:r>
      <w:r>
        <w:t xml:space="preserve"> </w:t>
      </w:r>
      <w:r>
        <w:rPr>
          <w:bCs/>
          <w:b/>
        </w:rPr>
        <w:t xml:space="preserve">Page:</w:t>
      </w:r>
      <w:r>
        <w:t xml:space="preserve"> </w:t>
      </w:r>
      <w:r>
        <w:t xml:space="preserve">1 of 1</w:t>
      </w:r>
    </w:p>
    <w:bookmarkStart w:id="21" w:name="service-provider-electrician-contractor"/>
    <w:p>
      <w:pPr>
        <w:pStyle w:val="Heading3"/>
      </w:pPr>
      <w:r>
        <w:t xml:space="preserve">Service Provider (Electrician Contractor)</w:t>
      </w:r>
    </w:p>
    <w:p>
      <w:pPr>
        <w:pStyle w:val="FirstParagraph"/>
      </w:pPr>
      <w:r>
        <w:rPr>
          <w:bCs/>
          <w:b/>
        </w:rPr>
        <w:t xml:space="preserve">Company:</w:t>
      </w:r>
      <w:r>
        <w:t xml:space="preserve"> </w:t>
      </w:r>
      <w:r>
        <w:t xml:space="preserve">Kansai Precision Electric Co., Ltd.</w:t>
      </w:r>
    </w:p>
    <w:p>
      <w:pPr>
        <w:pStyle w:val="BodyText"/>
      </w:pPr>
      <w:r>
        <w:rPr>
          <w:bCs/>
          <w:b/>
        </w:rPr>
        <w:t xml:space="preserve">Licensed Electrician:</w:t>
      </w:r>
      <w:r>
        <w:t xml:space="preserve"> </w:t>
      </w:r>
      <w:r>
        <w:t xml:space="preserve">Tanaka Hiroshi (JIC License No. 47-003821)</w:t>
      </w:r>
    </w:p>
    <w:p>
      <w:pPr>
        <w:pStyle w:val="BodyText"/>
      </w:pPr>
      <w:r>
        <w:rPr>
          <w:bCs/>
          <w:b/>
        </w:rPr>
        <w:t xml:space="preserve">Address:</w:t>
      </w:r>
      <w:r>
        <w:t xml:space="preserve"> </w:t>
      </w:r>
      <w:r>
        <w:t xml:space="preserve">2-14-8 Dotonbori, Chuo-ku, Osaka 542-0071, Japan</w:t>
      </w:r>
    </w:p>
    <w:p>
      <w:pPr>
        <w:pStyle w:val="BodyText"/>
      </w:pPr>
      <w:r>
        <w:rPr>
          <w:bCs/>
          <w:b/>
        </w:rPr>
        <w:t xml:space="preserve">Phone:</w:t>
      </w:r>
      <w:r>
        <w:t xml:space="preserve"> </w:t>
      </w:r>
      <w:r>
        <w:t xml:space="preserve">+81-6-6210-4478</w:t>
      </w:r>
    </w:p>
    <w:p>
      <w:pPr>
        <w:pStyle w:val="BodyText"/>
      </w:pPr>
      <w:r>
        <w:rPr>
          <w:bCs/>
          <w:b/>
        </w:rPr>
        <w:t xml:space="preserve">Email:</w:t>
      </w:r>
      <w:r>
        <w:t xml:space="preserve"> </w:t>
      </w:r>
      <w:r>
        <w:t xml:space="preserve">quotes@kansai-precision-electric.jp</w:t>
      </w:r>
    </w:p>
    <w:bookmarkEnd w:id="21"/>
    <w:bookmarkStart w:id="22" w:name="client-property-owner"/>
    <w:p>
      <w:pPr>
        <w:pStyle w:val="Heading3"/>
      </w:pPr>
      <w:r>
        <w:t xml:space="preserve">Client / Property Owner</w:t>
      </w:r>
    </w:p>
    <w:p>
      <w:pPr>
        <w:pStyle w:val="FirstParagraph"/>
      </w:pPr>
      <w:r>
        <w:rPr>
          <w:bCs/>
          <w:b/>
        </w:rPr>
        <w:t xml:space="preserve">Name:</w:t>
      </w:r>
      <w:r>
        <w:t xml:space="preserve"> </w:t>
      </w:r>
      <w:r>
        <w:t xml:space="preserve">Mr. Kenji Yamamoto</w:t>
      </w:r>
    </w:p>
    <w:p>
      <w:pPr>
        <w:pStyle w:val="BodyText"/>
      </w:pPr>
      <w:r>
        <w:rPr>
          <w:bCs/>
          <w:b/>
        </w:rPr>
        <w:t xml:space="preserve">Property Address:</w:t>
      </w:r>
      <w:r>
        <w:t xml:space="preserve"> </w:t>
      </w:r>
      <w:r>
        <w:t xml:space="preserve">5-3-22 Umeda, Kita-ku, Osaka 530-0001, Japan</w:t>
      </w:r>
    </w:p>
    <w:p>
      <w:pPr>
        <w:pStyle w:val="BodyText"/>
      </w:pPr>
      <w:r>
        <w:rPr>
          <w:bCs/>
          <w:b/>
        </w:rPr>
        <w:t xml:space="preserve">Phone:</w:t>
      </w:r>
      <w:r>
        <w:t xml:space="preserve"> </w:t>
      </w:r>
      <w:r>
        <w:t xml:space="preserve">+81-90-5521-8834</w:t>
      </w:r>
    </w:p>
    <w:p>
      <w:pPr>
        <w:pStyle w:val="BodyText"/>
      </w:pPr>
      <w:r>
        <w:rPr>
          <w:bCs/>
          <w:b/>
        </w:rPr>
        <w:t xml:space="preserve">Email:</w:t>
      </w:r>
      <w:r>
        <w:t xml:space="preserve"> </w:t>
      </w:r>
      <w:r>
        <w:t xml:space="preserve">k.yamamoto@example.jp</w:t>
      </w:r>
    </w:p>
    <w:p>
      <w:pPr>
        <w:pStyle w:val="BodyText"/>
      </w:pPr>
      <w:r>
        <w:rPr>
          <w:bCs/>
          <w:b/>
        </w:rPr>
        <w:t xml:space="preserve">Property Type:</w:t>
      </w:r>
      <w:r>
        <w:t xml:space="preserve"> </w:t>
      </w:r>
      <w:r>
        <w:t xml:space="preserve">3-Story Residential Townhouse</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Kansai Precision Electric Co., Ltd. to provide a comprehensive and transparent cost breakdown for all</w:t>
      </w:r>
      <w:r>
        <w:t xml:space="preserve"> </w:t>
      </w:r>
      <w:r>
        <w:t xml:space="preserve">Electrician</w:t>
      </w:r>
      <w:r>
        <w:t xml:space="preserve"> </w:t>
      </w:r>
      <w:r>
        <w:t xml:space="preserve">services to be performed at the client's residential property located in</w:t>
      </w:r>
      <w:r>
        <w:t xml:space="preserve"> </w:t>
      </w:r>
      <w:r>
        <w:t xml:space="preserve">Japan Osaka</w:t>
      </w:r>
      <w:r>
        <w:t xml:space="preserve">. This document serves as a formal proposal outlining the scope of electrical work, associated labor and material costs, project timeline, and all applicable terms governing the engagement. The</w:t>
      </w:r>
      <w:r>
        <w:t xml:space="preserve"> </w:t>
      </w:r>
      <w:r>
        <w:t xml:space="preserve">Quotation Estimate</w:t>
      </w:r>
      <w:r>
        <w:t xml:space="preserve"> </w:t>
      </w:r>
      <w:r>
        <w:t xml:space="preserve">has been prepared in accordance with the Electrical Work Act of Japan (Denki Senyogyo Ho) and all local regulations enforced by the Osaka Metropolitan Bureau of Industry.</w:t>
      </w:r>
    </w:p>
    <w:bookmarkEnd w:id="23"/>
    <w:bookmarkStart w:id="24" w:name="scope-of-electrician-work"/>
    <w:p>
      <w:pPr>
        <w:pStyle w:val="Heading2"/>
      </w:pPr>
      <w:r>
        <w:t xml:space="preserve">2. Scope of Electrician Work</w:t>
      </w:r>
    </w:p>
    <w:p>
      <w:pPr>
        <w:pStyle w:val="FirstParagraph"/>
      </w:pPr>
      <w:r>
        <w:t xml:space="preserve">The following</w:t>
      </w:r>
      <w:r>
        <w:t xml:space="preserve"> </w:t>
      </w:r>
      <w:r>
        <w:t xml:space="preserve">Electrician</w:t>
      </w:r>
      <w:r>
        <w:t xml:space="preserve"> </w:t>
      </w:r>
      <w:r>
        <w:t xml:space="preserve">services have been assessed during the on-site inspection conducted on 10 June 225 at the property in</w:t>
      </w:r>
      <w:r>
        <w:t xml:space="preserve"> </w:t>
      </w:r>
      <w:r>
        <w:t xml:space="preserve">Japan Osaka</w:t>
      </w:r>
      <w:r>
        <w:t xml:space="preserve">:</w:t>
      </w:r>
    </w:p>
    <w:p>
      <w:pPr>
        <w:numPr>
          <w:ilvl w:val="0"/>
          <w:numId w:val="1001"/>
        </w:numPr>
        <w:pStyle w:val="Compact"/>
      </w:pPr>
      <w:r>
        <w:t xml:space="preserve">Complete replacement of the main electrical distribution board (60A, 3-phase) on the ground floor, including all circuit breakers and residual current devices (RCDs) compliant with JIS C 8201 standards.</w:t>
      </w:r>
    </w:p>
    <w:p>
      <w:pPr>
        <w:numPr>
          <w:ilvl w:val="0"/>
          <w:numId w:val="1001"/>
        </w:numPr>
        <w:pStyle w:val="Compact"/>
      </w:pPr>
      <w:r>
        <w:t xml:space="preserve">Re-wiring of all three floors (approximately 180 square meters total) with new VVF 2.0mm and 1.6mm copper conductors, replacing aging cloth-insulated wiring installed in 1987.</w:t>
      </w:r>
    </w:p>
    <w:p>
      <w:pPr>
        <w:numPr>
          <w:ilvl w:val="0"/>
          <w:numId w:val="1001"/>
        </w:numPr>
        <w:pStyle w:val="Compact"/>
      </w:pPr>
      <w:r>
        <w:t xml:space="preserve">Installation of 42 new LED-compatible ceiling light fixtures, 28 wall-mounted switches, and 36 standard 100V/15A outlets across all rooms.</w:t>
      </w:r>
    </w:p>
    <w:p>
      <w:pPr>
        <w:numPr>
          <w:ilvl w:val="0"/>
          <w:numId w:val="1001"/>
        </w:numPr>
        <w:pStyle w:val="Compact"/>
      </w:pPr>
      <w:r>
        <w:t xml:space="preserve">Installation of a dedicated 200A sub-panel for the second-floor home office, including network cabling termination points and surge protection devices.</w:t>
      </w:r>
    </w:p>
    <w:p>
      <w:pPr>
        <w:numPr>
          <w:ilvl w:val="0"/>
          <w:numId w:val="1001"/>
        </w:numPr>
        <w:pStyle w:val="Compact"/>
      </w:pPr>
      <w:r>
        <w:t xml:space="preserve">Replacement of the existing 1,500W electric water heater with a 4,500W high-efficiency unit, including new 6.0mm dedicated circuit wiring and thermal overload protection.</w:t>
      </w:r>
    </w:p>
    <w:p>
      <w:pPr>
        <w:numPr>
          <w:ilvl w:val="0"/>
          <w:numId w:val="1001"/>
        </w:numPr>
        <w:pStyle w:val="Compact"/>
      </w:pPr>
      <w:r>
        <w:t xml:space="preserve">Installation of a 5.5kW solar inverter connection point and dedicated EV charging circuit (Type 2, 7kW) in the ground-floor garage area.</w:t>
      </w:r>
    </w:p>
    <w:p>
      <w:pPr>
        <w:numPr>
          <w:ilvl w:val="0"/>
          <w:numId w:val="1001"/>
        </w:numPr>
        <w:pStyle w:val="Compact"/>
      </w:pPr>
      <w:r>
        <w:t xml:space="preserve">Full electrical safety inspection, insulation resistance testing, and submission of the mandatory electrical work completion report to the Osaka Fire Department and local power utility (Osaka Electric Power Company, Ltd.).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Main distribution board replacement (60A, 3-phase, 12-circuit) including RCDs</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Complete re-wiring, 3 floors (VVF 2.0mm &amp; 1.6mm copper), including conduit and junction boxes</w:t>
            </w:r>
          </w:p>
        </w:tc>
        <w:tc>
          <w:tcPr/>
          <w:p>
            <w:pPr>
              <w:pStyle w:val="Compact"/>
              <w:jc w:val="left"/>
            </w:pPr>
            <w:r>
              <w:t xml:space="preserve">180 m²</w:t>
            </w:r>
          </w:p>
        </w:tc>
        <w:tc>
          <w:tcPr/>
          <w:p>
            <w:pPr>
              <w:pStyle w:val="Compact"/>
              <w:jc w:val="left"/>
            </w:pPr>
            <w:r>
              <w:t xml:space="preserve">4,200</w:t>
            </w:r>
          </w:p>
        </w:tc>
        <w:tc>
          <w:tcPr/>
          <w:p>
            <w:pPr>
              <w:pStyle w:val="Compact"/>
              <w:jc w:val="left"/>
            </w:pPr>
            <w:r>
              <w:t xml:space="preserve">756,000</w:t>
            </w:r>
          </w:p>
        </w:tc>
      </w:tr>
      <w:tr>
        <w:tc>
          <w:tcPr/>
          <w:p>
            <w:pPr>
              <w:pStyle w:val="Compact"/>
              <w:jc w:val="left"/>
            </w:pPr>
            <w:r>
              <w:t xml:space="preserve">3</w:t>
            </w:r>
          </w:p>
        </w:tc>
        <w:tc>
          <w:tcPr/>
          <w:p>
            <w:pPr>
              <w:pStyle w:val="Compact"/>
              <w:jc w:val="left"/>
            </w:pPr>
            <w:r>
              <w:t xml:space="preserve">LED ceiling light fixtures (installation and wiring)</w:t>
            </w:r>
          </w:p>
        </w:tc>
        <w:tc>
          <w:tcPr/>
          <w:p>
            <w:pPr>
              <w:pStyle w:val="Compact"/>
              <w:jc w:val="left"/>
            </w:pPr>
            <w:r>
              <w:t xml:space="preserve">42 units</w:t>
            </w:r>
          </w:p>
        </w:tc>
        <w:tc>
          <w:tcPr/>
          <w:p>
            <w:pPr>
              <w:pStyle w:val="Compact"/>
              <w:jc w:val="left"/>
            </w:pPr>
            <w:r>
              <w:t xml:space="preserve">8,500</w:t>
            </w:r>
          </w:p>
        </w:tc>
        <w:tc>
          <w:tcPr/>
          <w:p>
            <w:pPr>
              <w:pStyle w:val="Compact"/>
              <w:jc w:val="left"/>
            </w:pPr>
            <w:r>
              <w:t xml:space="preserve">357,000</w:t>
            </w:r>
          </w:p>
        </w:tc>
      </w:tr>
      <w:tr>
        <w:tc>
          <w:tcPr/>
          <w:p>
            <w:pPr>
              <w:pStyle w:val="Compact"/>
              <w:jc w:val="left"/>
            </w:pPr>
            <w:r>
              <w:t xml:space="preserve">4</w:t>
            </w:r>
          </w:p>
        </w:tc>
        <w:tc>
          <w:tcPr/>
          <w:p>
            <w:pPr>
              <w:pStyle w:val="Compact"/>
              <w:jc w:val="left"/>
            </w:pPr>
            <w:r>
              <w:t xml:space="preserve">Wall-mounted switches (2-way and 3-way configurations)</w:t>
            </w:r>
          </w:p>
        </w:tc>
        <w:tc>
          <w:tcPr/>
          <w:p>
            <w:pPr>
              <w:pStyle w:val="Compact"/>
              <w:jc w:val="left"/>
            </w:pPr>
            <w:r>
              <w:t xml:space="preserve">28 units</w:t>
            </w:r>
          </w:p>
        </w:tc>
        <w:tc>
          <w:tcPr/>
          <w:p>
            <w:pPr>
              <w:pStyle w:val="Compact"/>
              <w:jc w:val="left"/>
            </w:pPr>
            <w:r>
              <w:t xml:space="preserve">4,800</w:t>
            </w:r>
          </w:p>
        </w:tc>
        <w:tc>
          <w:tcPr/>
          <w:p>
            <w:pPr>
              <w:pStyle w:val="Compact"/>
              <w:jc w:val="left"/>
            </w:pPr>
            <w:r>
              <w:t xml:space="preserve">134,400</w:t>
            </w:r>
          </w:p>
        </w:tc>
      </w:tr>
      <w:tr>
        <w:tc>
          <w:tcPr/>
          <w:p>
            <w:pPr>
              <w:pStyle w:val="Compact"/>
              <w:jc w:val="left"/>
            </w:pPr>
            <w:r>
              <w:t xml:space="preserve">5</w:t>
            </w:r>
          </w:p>
        </w:tc>
        <w:tc>
          <w:tcPr/>
          <w:p>
            <w:pPr>
              <w:pStyle w:val="Compact"/>
              <w:jc w:val="left"/>
            </w:pPr>
            <w:r>
              <w:t xml:space="preserve">Standard 100V/15A wall outlets with USB-A and USB-C ports</w:t>
            </w:r>
          </w:p>
        </w:tc>
        <w:tc>
          <w:tcPr/>
          <w:p>
            <w:pPr>
              <w:pStyle w:val="Compact"/>
              <w:jc w:val="left"/>
            </w:pPr>
            <w:r>
              <w:t xml:space="preserve">36 units</w:t>
            </w:r>
          </w:p>
        </w:tc>
        <w:tc>
          <w:tcPr/>
          <w:p>
            <w:pPr>
              <w:pStyle w:val="Compact"/>
              <w:jc w:val="left"/>
            </w:pPr>
            <w:r>
              <w:t xml:space="preserve">6,200</w:t>
            </w:r>
          </w:p>
        </w:tc>
        <w:tc>
          <w:tcPr/>
          <w:p>
            <w:pPr>
              <w:pStyle w:val="Compact"/>
              <w:jc w:val="left"/>
            </w:pPr>
            <w:r>
              <w:t xml:space="preserve">223,200</w:t>
            </w:r>
          </w:p>
        </w:tc>
      </w:tr>
      <w:tr>
        <w:tc>
          <w:tcPr/>
          <w:p>
            <w:pPr>
              <w:pStyle w:val="Compact"/>
              <w:jc w:val="left"/>
            </w:pPr>
            <w:r>
              <w:t xml:space="preserve">6</w:t>
            </w:r>
          </w:p>
        </w:tc>
        <w:tc>
          <w:tcPr/>
          <w:p>
            <w:pPr>
              <w:pStyle w:val="Compact"/>
              <w:jc w:val="left"/>
            </w:pPr>
            <w:r>
              <w:t xml:space="preserve">Dedicated 200A sub-panel installation (2nd floor home office) with surge protection</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Electric water heater replacement (4,500W) with dedicated 6.0mm circuit</w:t>
            </w:r>
          </w:p>
        </w:tc>
        <w:tc>
          <w:tcPr/>
          <w:p>
            <w:pPr>
              <w:pStyle w:val="Compact"/>
              <w:jc w:val="left"/>
            </w:pPr>
            <w:r>
              <w:t xml:space="preserve">1 set</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8</w:t>
            </w:r>
          </w:p>
        </w:tc>
        <w:tc>
          <w:tcPr/>
          <w:p>
            <w:pPr>
              <w:pStyle w:val="Compact"/>
              <w:jc w:val="left"/>
            </w:pPr>
            <w:r>
              <w:t xml:space="preserve">Solar inverter connection point &amp; EV charging circuit (7kW, Type 2)</w:t>
            </w:r>
          </w:p>
        </w:tc>
        <w:tc>
          <w:tcPr/>
          <w:p>
            <w:pPr>
              <w:pStyle w:val="Compact"/>
              <w:jc w:val="left"/>
            </w:pPr>
            <w:r>
              <w:t xml:space="preserve">1 set</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9</w:t>
            </w:r>
          </w:p>
        </w:tc>
        <w:tc>
          <w:tcPr/>
          <w:p>
            <w:pPr>
              <w:pStyle w:val="Compact"/>
              <w:jc w:val="left"/>
            </w:pPr>
            <w:r>
              <w:t xml:space="preserve">Electrical safety inspection, insulation testing, and regulatory filing (Osaka Fire Dept. &amp; OEP)</w:t>
            </w:r>
          </w:p>
        </w:tc>
        <w:tc>
          <w:tcPr/>
          <w:p>
            <w:pPr>
              <w:pStyle w:val="Compact"/>
              <w:jc w:val="left"/>
            </w:pPr>
            <w:r>
              <w:t xml:space="preserve">1 service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Waste disposal, site cleanup, and temporary power supply during works</w:t>
            </w:r>
          </w:p>
        </w:tc>
        <w:tc>
          <w:tcPr/>
          <w:p>
            <w:pPr>
              <w:pStyle w:val="Compact"/>
              <w:jc w:val="left"/>
            </w:pPr>
            <w:r>
              <w:t xml:space="preserve">1 service</w:t>
            </w:r>
          </w:p>
        </w:tc>
        <w:tc>
          <w:tcPr/>
          <w:p>
            <w:pPr>
              <w:pStyle w:val="Compact"/>
              <w:jc w:val="left"/>
            </w:pPr>
            <w:r>
              <w:t xml:space="preserve">38,000</w:t>
            </w:r>
          </w:p>
        </w:tc>
        <w:tc>
          <w:tcPr/>
          <w:p>
            <w:pPr>
              <w:pStyle w:val="Compact"/>
              <w:jc w:val="left"/>
            </w:pPr>
            <w:r>
              <w:t xml:space="preserve">38,000</w:t>
            </w:r>
          </w:p>
        </w:tc>
      </w:tr>
      <w:tr>
        <w:tc>
          <w:tcPr>
            <w:gridSpan w:val="4"/>
          </w:tcPr>
          <w:p>
            <w:pPr>
              <w:pStyle w:val="Compact"/>
              <w:jc w:val="right"/>
            </w:pPr>
            <w:r>
              <w:t xml:space="preserve">Subtotal (before tax)</w:t>
            </w:r>
          </w:p>
        </w:tc>
        <w:tc>
          <w:tcPr/>
          <w:p>
            <w:pPr>
              <w:pStyle w:val="Compact"/>
              <w:jc w:val="left"/>
            </w:pPr>
            <w:r>
              <w:t xml:space="preserve">2,321,600</w:t>
            </w:r>
          </w:p>
        </w:tc>
      </w:tr>
      <w:tr>
        <w:tc>
          <w:tcPr>
            <w:gridSpan w:val="4"/>
          </w:tcPr>
          <w:p>
            <w:pPr>
              <w:pStyle w:val="Compact"/>
              <w:jc w:val="right"/>
            </w:pPr>
            <w:r>
              <w:t xml:space="preserve">Consumption Tax (10%)</w:t>
            </w:r>
          </w:p>
        </w:tc>
        <w:tc>
          <w:tcPr/>
          <w:p>
            <w:pPr>
              <w:pStyle w:val="Compact"/>
              <w:jc w:val="left"/>
            </w:pPr>
            <w:r>
              <w:t xml:space="preserve">232,160</w:t>
            </w:r>
          </w:p>
        </w:tc>
      </w:tr>
      <w:tr>
        <w:tc>
          <w:tcPr>
            <w:gridSpan w:val="4"/>
          </w:tcPr>
          <w:p>
            <w:pPr>
              <w:pStyle w:val="Compact"/>
              <w:jc w:val="right"/>
            </w:pPr>
            <w:r>
              <w:t xml:space="preserve">TOTAL AMOUNT DUE (JPY)</w:t>
            </w:r>
          </w:p>
        </w:tc>
        <w:tc>
          <w:tcPr/>
          <w:p>
            <w:pPr>
              <w:pStyle w:val="Compact"/>
              <w:jc w:val="left"/>
            </w:pPr>
            <w:r>
              <w:t xml:space="preserve">2,553,760</w:t>
            </w:r>
          </w:p>
        </w:tc>
      </w:tr>
    </w:tbl>
    <w:p>
      <w:pPr>
        <w:pStyle w:val="BodyText"/>
      </w:pPr>
      <w:r>
        <w:t xml:space="preserve">* All prices are quoted in Japanese Yen (JPY). Material costs include manufacturer warranties. Labor rates reflect the standard</w:t>
      </w:r>
      <w:r>
        <w:t xml:space="preserve"> </w:t>
      </w:r>
      <w:r>
        <w:t xml:space="preserve">Electrician</w:t>
      </w:r>
      <w:r>
        <w:t xml:space="preserve"> </w:t>
      </w:r>
      <w:r>
        <w:t xml:space="preserve">trade rates applicable in the</w:t>
      </w:r>
      <w:r>
        <w:t xml:space="preserve"> </w:t>
      </w:r>
      <w:r>
        <w:t xml:space="preserve">Japan Osaka</w:t>
      </w:r>
      <w:r>
        <w:t xml:space="preserve"> </w:t>
      </w:r>
      <w:r>
        <w:t xml:space="preserve">metropolitan area for 2025.</w:t>
      </w:r>
    </w:p>
    <w:bookmarkEnd w:id="25"/>
    <w:bookmarkStart w:id="26" w:name="project-timeline"/>
    <w:p>
      <w:pPr>
        <w:pStyle w:val="Heading2"/>
      </w:pPr>
      <w:r>
        <w:t xml:space="preserve">4. Project Timeline</w:t>
      </w:r>
    </w:p>
    <w:p>
      <w:pPr>
        <w:pStyle w:val="FirstParagraph"/>
      </w:pPr>
      <w:r>
        <w:t xml:space="preserve">Subject to client approval of this</w:t>
      </w:r>
      <w:r>
        <w:t xml:space="preserve"> </w:t>
      </w:r>
      <w:r>
        <w:t xml:space="preserve">Quotation Estimate</w:t>
      </w:r>
      <w:r>
        <w:t xml:space="preserve">, the</w:t>
      </w:r>
      <w:r>
        <w:t xml:space="preserve"> </w:t>
      </w:r>
      <w:r>
        <w:t xml:space="preserve">Electrician</w:t>
      </w:r>
      <w:r>
        <w:t xml:space="preserve"> </w:t>
      </w:r>
      <w:r>
        <w:t xml:space="preserve">works are scheduled to commence on 1 July 2025 and are projected for completion by 15 July 2025 (12 working days). The schedule accounts for material procurement lead times typical of the</w:t>
      </w:r>
      <w:r>
        <w:t xml:space="preserve"> </w:t>
      </w:r>
      <w:r>
        <w:t xml:space="preserve">Japan Osaka</w:t>
      </w:r>
      <w:r>
        <w:t xml:space="preserve"> </w:t>
      </w:r>
      <w:r>
        <w:t xml:space="preserve">electrical supply market, as well as the mandatory 48-hour notice period required by the Osaka Fire Department prior to any work involving the main service entrance.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Upon expiry, all prices are subject to revision based on current material and labor market conditions in</w:t>
      </w:r>
      <w:r>
        <w:t xml:space="preserve"> </w:t>
      </w:r>
      <w:r>
        <w:t xml:space="preserve">Japan Osaka</w:t>
      </w:r>
      <w:r>
        <w:t xml:space="preserve">.</w:t>
      </w:r>
    </w:p>
    <w:p>
      <w:pPr>
        <w:numPr>
          <w:ilvl w:val="0"/>
          <w:numId w:val="1002"/>
        </w:numPr>
        <w:pStyle w:val="Compact"/>
      </w:pPr>
      <w:r>
        <w:t xml:space="preserve">A deposit of 30% of the total amount (JPY 766,128) is required upon acceptance to secure the project slot and initiate material ordering. The remaining 70% is due upon completion and final sign-off.</w:t>
      </w:r>
    </w:p>
    <w:p>
      <w:pPr>
        <w:numPr>
          <w:ilvl w:val="0"/>
          <w:numId w:val="1002"/>
        </w:numPr>
        <w:pStyle w:val="Compact"/>
      </w:pPr>
      <w:r>
        <w:t xml:space="preserve">All</w:t>
      </w:r>
      <w:r>
        <w:t xml:space="preserve"> </w:t>
      </w:r>
      <w:r>
        <w:t xml:space="preserve">Electrician</w:t>
      </w:r>
      <w:r>
        <w:t xml:space="preserve"> </w:t>
      </w:r>
      <w:r>
        <w:t xml:space="preserve">work shall be performed by licensed personnel holding valid JIC (Japan Institute of Certified Electricians) credentials. The lead</w:t>
      </w:r>
      <w:r>
        <w:t xml:space="preserve"> </w:t>
      </w:r>
      <w:r>
        <w:t xml:space="preserve">Electrician</w:t>
      </w:r>
      <w:r>
        <w:t xml:space="preserve"> </w:t>
      </w:r>
      <w:r>
        <w:t xml:space="preserve">for this project is Tanaka Hiroshi, License No. 47-003821.</w:t>
      </w:r>
    </w:p>
    <w:p>
      <w:pPr>
        <w:numPr>
          <w:ilvl w:val="0"/>
          <w:numId w:val="1002"/>
        </w:numPr>
        <w:pStyle w:val="Compact"/>
      </w:pPr>
      <w:r>
        <w:t xml:space="preserve">The contractor shall comply with all provisions of the Electrical Work Act, the Building Standards Act, and all applicable Osaka municipal ordinances. The client is responsible for obtaining any necessary building permits or neighbor notifications specific to the</w:t>
      </w:r>
      <w:r>
        <w:t xml:space="preserve"> </w:t>
      </w:r>
      <w:r>
        <w:t xml:space="preserve">Japan Osaka</w:t>
      </w:r>
      <w:r>
        <w:t xml:space="preserve"> </w:t>
      </w:r>
      <w:r>
        <w:t xml:space="preserve">residential zone.</w:t>
      </w:r>
    </w:p>
    <w:p>
      <w:pPr>
        <w:numPr>
          <w:ilvl w:val="0"/>
          <w:numId w:val="1002"/>
        </w:numPr>
        <w:pStyle w:val="Compact"/>
      </w:pPr>
      <w:r>
        <w:t xml:space="preserve">A comprehensive 2-year warranty is provided on all labor and workmanship. Manufacturer warranties on equipment (distribution boards, fixtures, water heater, EV charger) are passed through to the client and typically range from 3 to 10 years.</w:t>
      </w:r>
    </w:p>
    <w:p>
      <w:pPr>
        <w:numPr>
          <w:ilvl w:val="0"/>
          <w:numId w:val="1002"/>
        </w:numPr>
        <w:pStyle w:val="Compact"/>
      </w:pPr>
      <w:r>
        <w:t xml:space="preserve">Any additional work not explicitly listed in this</w:t>
      </w:r>
      <w:r>
        <w:t xml:space="preserve"> </w:t>
      </w:r>
      <w:r>
        <w:t xml:space="preserve">Quotation Estimate</w:t>
      </w:r>
      <w:r>
        <w:t xml:space="preserve"> </w:t>
      </w:r>
      <w:r>
        <w:t xml:space="preserve">shall be subject to a separate written amendment signed by both parties before commencement.</w:t>
      </w:r>
    </w:p>
    <w:p>
      <w:pPr>
        <w:numPr>
          <w:ilvl w:val="0"/>
          <w:numId w:val="1002"/>
        </w:numPr>
        <w:pStyle w:val="Compact"/>
      </w:pPr>
      <w:r>
        <w:t xml:space="preserve">In the event of force majeure (including but not limited to typhoons, earthquakes, or government-mandated shutdowns common in the</w:t>
      </w:r>
      <w:r>
        <w:t xml:space="preserve"> </w:t>
      </w:r>
      <w:r>
        <w:t xml:space="preserve">Japan Osaka</w:t>
      </w:r>
      <w:r>
        <w:t xml:space="preserve"> </w:t>
      </w:r>
      <w:r>
        <w:t xml:space="preserve">region), the project timeline shall be extended by the duration of the disruption without penalty to either party.</w:t>
      </w:r>
    </w:p>
    <w:p>
      <w:pPr>
        <w:numPr>
          <w:ilvl w:val="0"/>
          <w:numId w:val="1002"/>
        </w:numPr>
        <w:pStyle w:val="Compact"/>
      </w:pPr>
      <w:r>
        <w:t xml:space="preserve">Payment shall be made via bank transfer to Kansai Precision Electric Co., Ltd., Mizuho Bank, Osaka Main Branch, Account No. 214-887-332. Invoices will be issued in Japanese and English.</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Kansai Precision Electric Co., Ltd. to proceed with the described</w:t>
      </w:r>
      <w:r>
        <w:t xml:space="preserve"> </w:t>
      </w:r>
      <w:r>
        <w:t xml:space="preserve">Electrician</w:t>
      </w:r>
      <w:r>
        <w:t xml:space="preserve"> </w:t>
      </w:r>
      <w:r>
        <w:t xml:space="preserve">services at the specified property in</w:t>
      </w:r>
      <w:r>
        <w:t xml:space="preserve"> </w:t>
      </w:r>
      <w:r>
        <w:t xml:space="preserve">Japan Osaka</w:t>
      </w:r>
      <w:r>
        <w:t xml:space="preserve"> </w:t>
      </w:r>
      <w:r>
        <w:t xml:space="preserve">under the terms outlined herein.</w:t>
      </w:r>
    </w:p>
    <w:bookmarkEnd w:id="28"/>
    <w:p>
      <w:pPr>
        <w:pStyle w:val="BodyText"/>
      </w:pPr>
      <w:r>
        <w:rPr>
          <w:bCs/>
          <w:b/>
        </w:rPr>
        <w:t xml:space="preserve">Client Signature</w:t>
      </w:r>
    </w:p>
    <w:p>
      <w:pPr>
        <w:pStyle w:val="BodyText"/>
      </w:pPr>
      <w:r>
        <w:t xml:space="preserve">Name: Kenji Yamamoto</w:t>
      </w:r>
    </w:p>
    <w:p>
      <w:pPr>
        <w:pStyle w:val="BodyText"/>
      </w:pPr>
      <w:r>
        <w:t xml:space="preserve">Date: ____________________</w:t>
      </w:r>
    </w:p>
    <w:p>
      <w:pPr>
        <w:pStyle w:val="BodyText"/>
      </w:pPr>
      <w:r>
        <w:rPr>
          <w:bCs/>
          <w:b/>
        </w:rPr>
        <w:t xml:space="preserve">Electrician Contractor Signature</w:t>
      </w:r>
    </w:p>
    <w:p>
      <w:pPr>
        <w:pStyle w:val="BodyText"/>
      </w:pPr>
      <w:r>
        <w:t xml:space="preserve">Name: Tanaka Hiroshi</w:t>
      </w:r>
    </w:p>
    <w:p>
      <w:pPr>
        <w:pStyle w:val="BodyText"/>
      </w:pPr>
      <w:r>
        <w:t xml:space="preserve">Date: ____________________</w:t>
      </w:r>
    </w:p>
    <w:p>
      <w:pPr>
        <w:pStyle w:val="BodyText"/>
      </w:pPr>
      <w:r>
        <w:t xml:space="preserve">Kansai Precision Electric Co., Ltd. — Licensed Electrical Contractor, Osaka Prefecture (Registration No. 47-003821)</w:t>
      </w:r>
    </w:p>
    <w:p>
      <w:pPr>
        <w:pStyle w:val="BodyText"/>
      </w:pPr>
      <w:r>
        <w:t xml:space="preserve">This Quotation Estimate is the property of the issuing party. Unauthorized reproduction is prohibited.</w:t>
      </w:r>
    </w:p>
    <w:p>
      <w:pPr>
        <w:pStyle w:val="BodyText"/>
      </w:pPr>
      <w:r>
        <w:t xml:space="preserve">© 2025 Kansai Precision Electric Co., Ltd. All rights reserved. |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Japan Osaka</dc:title>
  <dc:creator/>
  <dc:language>en</dc:language>
  <cp:keywords/>
  <dcterms:created xsi:type="dcterms:W3CDTF">2026-10-10T07:24:33Z</dcterms:created>
  <dcterms:modified xsi:type="dcterms:W3CDTF">2026-10-10T07:24:33Z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