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t xml:space="preserve">Professional Electrician Services — Malaysia Kuala Lumpur</w:t>
      </w:r>
    </w:p>
    <w:p>
      <w:pPr>
        <w:pStyle w:val="BodyText"/>
      </w:pPr>
      <w:r>
        <w:t xml:space="preserve">Document Reference: QE-KL-2025-04782 | Status:</w:t>
      </w:r>
      <w:r>
        <w:t xml:space="preserve"> </w:t>
      </w:r>
      <w:r>
        <w:t xml:space="preserve">PENDING APPROVAL</w:t>
      </w:r>
    </w:p>
    <w:bookmarkEnd w:id="20"/>
    <w:p>
      <w:pPr>
        <w:pStyle w:val="BodyText"/>
      </w:pPr>
      <w:r>
        <w:rPr>
          <w:bCs/>
          <w:b/>
        </w:rPr>
        <w:t xml:space="preserve">Prepared By:</w:t>
      </w:r>
      <w:r>
        <w:br/>
      </w:r>
      <w:r>
        <w:t xml:space="preserve">VoltEdge Electrical Solutions Sdn. Bhd.</w:t>
      </w:r>
      <w:r>
        <w:br/>
      </w:r>
      <w:r>
        <w:t xml:space="preserve">No. 12, Jalan Ampang, 50450</w:t>
      </w:r>
      <w:r>
        <w:br/>
      </w:r>
      <w:r>
        <w:t xml:space="preserve">Kuala Lumpur, Malaysia</w:t>
      </w:r>
      <w:r>
        <w:br/>
      </w:r>
      <w:r>
        <w:t xml:space="preserve">Tel: +60 3-2145 6789</w:t>
      </w:r>
      <w:r>
        <w:br/>
      </w:r>
      <w:r>
        <w:t xml:space="preserve">Email: quotes@voltedge-kl.com.my</w:t>
      </w:r>
      <w:r>
        <w:br/>
      </w:r>
      <w:r>
        <w:t xml:space="preserve">CIDB Registration: C-123456</w:t>
      </w:r>
      <w:r>
        <w:br/>
      </w:r>
      <w:r>
        <w:t xml:space="preserve">TNB Licensed Electrician</w:t>
      </w:r>
    </w:p>
    <w:p>
      <w:pPr>
        <w:pStyle w:val="BodyText"/>
      </w:pPr>
      <w:r>
        <w:rPr>
          <w:bCs/>
          <w:b/>
        </w:rPr>
        <w:t xml:space="preserve">Quotation Estimate Date:</w:t>
      </w:r>
      <w:r>
        <w:br/>
      </w:r>
      <w:r>
        <w:t xml:space="preserve">15 June 2025</w:t>
      </w:r>
      <w:r>
        <w:br/>
      </w:r>
      <w:r>
        <w:br/>
      </w:r>
      <w:r>
        <w:rPr>
          <w:bCs/>
          <w:b/>
        </w:rPr>
        <w:t xml:space="preserve">Valid Until:</w:t>
      </w:r>
      <w:r>
        <w:br/>
      </w:r>
      <w:r>
        <w:t xml:space="preserve">15 July 2025 (30 Days)</w:t>
      </w:r>
      <w:r>
        <w:br/>
      </w:r>
      <w:r>
        <w:br/>
      </w:r>
      <w:r>
        <w:rPr>
          <w:bCs/>
          <w:b/>
        </w:rPr>
        <w:t xml:space="preserve">Prepared For:</w:t>
      </w:r>
      <w:r>
        <w:br/>
      </w:r>
      <w:r>
        <w:t xml:space="preserve">Mr. Tan Wei Ming</w:t>
      </w:r>
      <w:r>
        <w:br/>
      </w:r>
      <w:r>
        <w:t xml:space="preserve">Unit 18-04, The Ritz Residences</w:t>
      </w:r>
      <w:r>
        <w:br/>
      </w:r>
      <w:r>
        <w:t xml:space="preserve">8, Jalan Sultan Ismail</w:t>
      </w:r>
      <w:r>
        <w:br/>
      </w:r>
      <w:r>
        <w:t xml:space="preserve">50450 Kuala Lumpur, Malaysia</w:t>
      </w:r>
    </w:p>
    <w:bookmarkStart w:id="21" w:name="project-overview-scope-of-work"/>
    <w:p>
      <w:pPr>
        <w:pStyle w:val="Heading2"/>
      </w:pPr>
      <w:r>
        <w:t xml:space="preserve">1. Project Overview &amp; Scope of Work</w:t>
      </w:r>
    </w:p>
    <w:p>
      <w:pPr>
        <w:pStyle w:val="FirstParagraph"/>
      </w:pPr>
      <w:r>
        <w:t xml:space="preserve">This</w:t>
      </w:r>
      <w:r>
        <w:t xml:space="preserve"> </w:t>
      </w:r>
      <w:r>
        <w:t xml:space="preserve">Quotation Estimate</w:t>
      </w:r>
      <w:r>
        <w:t xml:space="preserve"> </w:t>
      </w:r>
      <w:r>
        <w:t xml:space="preserve">is issued by VoltEdge Electrical Solutions Sdn. Bhd. in response to the request from Mr. Tan Wei Ming for comprehensive electrical installation, inspection, and remediation works at the above-mentioned residential property in</w:t>
      </w:r>
      <w:r>
        <w:t xml:space="preserve"> </w:t>
      </w:r>
      <w:r>
        <w:t xml:space="preserve">Malaysia Kuala Lumpur</w:t>
      </w:r>
      <w:r>
        <w:t xml:space="preserve">. Our licensed</w:t>
      </w:r>
      <w:r>
        <w:t xml:space="preserve"> </w:t>
      </w:r>
      <w:r>
        <w:t xml:space="preserve">Electrician</w:t>
      </w:r>
      <w:r>
        <w:t xml:space="preserve"> </w:t>
      </w:r>
      <w:r>
        <w:t xml:space="preserve">team has conducted a full on-site assessment on 10 June 2025 and prepared this detailed</w:t>
      </w:r>
      <w:r>
        <w:t xml:space="preserve"> </w:t>
      </w:r>
      <w:r>
        <w:t xml:space="preserve">Quotation Estimate</w:t>
      </w:r>
      <w:r>
        <w:t xml:space="preserve"> </w:t>
      </w:r>
      <w:r>
        <w:t xml:space="preserve">to outline all required works, materials, labour charges, and associated costs. All electrical works shall be carried out in strict compliance with the Malaysian Electricity Regulations 1994, the IEC 60364 standard, and the guidelines set forth by Tenaga Nasional Berhad (TNB) and the Department of Energy (Suruhanjaya Tenaga) in</w:t>
      </w:r>
      <w:r>
        <w:t xml:space="preserve"> </w:t>
      </w:r>
      <w:r>
        <w:t xml:space="preserve">Malaysia Kuala Lumpur</w:t>
      </w:r>
      <w:r>
        <w:t xml:space="preserve">.</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Work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(RM)</w:t>
            </w:r>
          </w:p>
        </w:tc>
        <w:tc>
          <w:tcPr/>
          <w:p>
            <w:pPr>
              <w:pStyle w:val="Compact"/>
              <w:jc w:val="left"/>
            </w:pPr>
            <w:r>
              <w:t xml:space="preserve">Amount (RM)</w:t>
            </w:r>
          </w:p>
        </w:tc>
      </w:tr>
      <w:tr>
        <w:tc>
          <w:tcPr/>
          <w:p>
            <w:pPr>
              <w:pStyle w:val="Compact"/>
              <w:jc w:val="left"/>
            </w:pPr>
            <w:r>
              <w:t xml:space="preserve">1</w:t>
            </w:r>
          </w:p>
        </w:tc>
        <w:tc>
          <w:tcPr/>
          <w:p>
            <w:pPr>
              <w:pStyle w:val="Compact"/>
              <w:jc w:val="left"/>
            </w:pPr>
            <w:r>
              <w:t xml:space="preserve">Complete replacement of existing 3-phase TNB main distribution board (MDB) with a 12-way 100A rated board including RCD and MCBs</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Installation of 8 new sub-distribution boards (SDB) with 6-way MCBs for individual room circuits</w:t>
            </w:r>
          </w:p>
        </w:tc>
        <w:tc>
          <w:tcPr/>
          <w:p>
            <w:pPr>
              <w:pStyle w:val="Compact"/>
              <w:jc w:val="left"/>
            </w:pPr>
            <w:r>
              <w:t xml:space="preserve">8</w:t>
            </w:r>
          </w:p>
        </w:tc>
        <w:tc>
          <w:tcPr/>
          <w:p>
            <w:pPr>
              <w:pStyle w:val="Compact"/>
              <w:jc w:val="left"/>
            </w:pPr>
            <w:r>
              <w:t xml:space="preserve">Lot</w:t>
            </w:r>
          </w:p>
        </w:tc>
        <w:tc>
          <w:tcPr/>
          <w:p>
            <w:pPr>
              <w:pStyle w:val="Compact"/>
              <w:jc w:val="left"/>
            </w:pPr>
            <w:r>
              <w:t xml:space="preserve">1,250.00</w:t>
            </w:r>
          </w:p>
        </w:tc>
        <w:tc>
          <w:tcPr/>
          <w:p>
            <w:pPr>
              <w:pStyle w:val="Compact"/>
              <w:jc w:val="left"/>
            </w:pPr>
            <w:r>
              <w:t xml:space="preserve">10,000.00</w:t>
            </w:r>
          </w:p>
        </w:tc>
      </w:tr>
      <w:tr>
        <w:tc>
          <w:tcPr/>
          <w:p>
            <w:pPr>
              <w:pStyle w:val="Compact"/>
              <w:jc w:val="left"/>
            </w:pPr>
            <w:r>
              <w:t xml:space="preserve">3</w:t>
            </w:r>
          </w:p>
        </w:tc>
        <w:tc>
          <w:tcPr/>
          <w:p>
            <w:pPr>
              <w:pStyle w:val="Compact"/>
              <w:jc w:val="left"/>
            </w:pPr>
            <w:r>
              <w:t xml:space="preserve">Supply and installation of 2.5mm² and 4mm² copper wiring (NYY type) for all new circuits — approximately 450 metres</w:t>
            </w:r>
          </w:p>
        </w:tc>
        <w:tc>
          <w:tcPr/>
          <w:p>
            <w:pPr>
              <w:pStyle w:val="Compact"/>
              <w:jc w:val="left"/>
            </w:pPr>
            <w:r>
              <w:t xml:space="preserve">450</w:t>
            </w:r>
          </w:p>
        </w:tc>
        <w:tc>
          <w:tcPr/>
          <w:p>
            <w:pPr>
              <w:pStyle w:val="Compact"/>
              <w:jc w:val="left"/>
            </w:pPr>
            <w:r>
              <w:t xml:space="preserve">Mtr</w:t>
            </w:r>
          </w:p>
        </w:tc>
        <w:tc>
          <w:tcPr/>
          <w:p>
            <w:pPr>
              <w:pStyle w:val="Compact"/>
              <w:jc w:val="left"/>
            </w:pPr>
            <w:r>
              <w:t xml:space="preserve">8.50</w:t>
            </w:r>
          </w:p>
        </w:tc>
        <w:tc>
          <w:tcPr/>
          <w:p>
            <w:pPr>
              <w:pStyle w:val="Compact"/>
              <w:jc w:val="left"/>
            </w:pPr>
            <w:r>
              <w:t xml:space="preserve">3,825.00</w:t>
            </w:r>
          </w:p>
        </w:tc>
      </w:tr>
      <w:tr>
        <w:tc>
          <w:tcPr/>
          <w:p>
            <w:pPr>
              <w:pStyle w:val="Compact"/>
              <w:jc w:val="left"/>
            </w:pPr>
            <w:r>
              <w:t xml:space="preserve">4</w:t>
            </w:r>
          </w:p>
        </w:tc>
        <w:tc>
          <w:tcPr/>
          <w:p>
            <w:pPr>
              <w:pStyle w:val="Compact"/>
              <w:jc w:val="left"/>
            </w:pPr>
            <w:r>
              <w:t xml:space="preserve">Supply and installation of 24 new 15A single-gang switch outlets and 36 new 15A/20A socket outlets (Schneider or equivalent brand)</w:t>
            </w:r>
          </w:p>
        </w:tc>
        <w:tc>
          <w:tcPr/>
          <w:p>
            <w:pPr>
              <w:pStyle w:val="Compact"/>
              <w:jc w:val="left"/>
            </w:pPr>
            <w:r>
              <w:t xml:space="preserve">60</w:t>
            </w:r>
          </w:p>
        </w:tc>
        <w:tc>
          <w:tcPr/>
          <w:p>
            <w:pPr>
              <w:pStyle w:val="Compact"/>
              <w:jc w:val="left"/>
            </w:pPr>
            <w:r>
              <w:t xml:space="preserve">Unit</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5</w:t>
            </w:r>
          </w:p>
        </w:tc>
        <w:tc>
          <w:tcPr/>
          <w:p>
            <w:pPr>
              <w:pStyle w:val="Compact"/>
              <w:jc w:val="left"/>
            </w:pPr>
            <w:r>
              <w:t xml:space="preserve">Installation of 18 new LED downlight fixtures (12W, 4000K) in living room, master bedroom, and kitchen areas</w:t>
            </w:r>
          </w:p>
        </w:tc>
        <w:tc>
          <w:tcPr/>
          <w:p>
            <w:pPr>
              <w:pStyle w:val="Compact"/>
              <w:jc w:val="left"/>
            </w:pPr>
            <w:r>
              <w:t xml:space="preserve">18</w:t>
            </w:r>
          </w:p>
        </w:tc>
        <w:tc>
          <w:tcPr/>
          <w:p>
            <w:pPr>
              <w:pStyle w:val="Compact"/>
              <w:jc w:val="left"/>
            </w:pPr>
            <w:r>
              <w:t xml:space="preserve">Unit</w:t>
            </w:r>
          </w:p>
        </w:tc>
        <w:tc>
          <w:tcPr/>
          <w:p>
            <w:pPr>
              <w:pStyle w:val="Compact"/>
              <w:jc w:val="left"/>
            </w:pPr>
            <w:r>
              <w:t xml:space="preserve">145.00</w:t>
            </w:r>
          </w:p>
        </w:tc>
        <w:tc>
          <w:tcPr/>
          <w:p>
            <w:pPr>
              <w:pStyle w:val="Compact"/>
              <w:jc w:val="left"/>
            </w:pPr>
            <w:r>
              <w:t xml:space="preserve">2,610.00</w:t>
            </w:r>
          </w:p>
        </w:tc>
      </w:tr>
      <w:tr>
        <w:tc>
          <w:tcPr/>
          <w:p>
            <w:pPr>
              <w:pStyle w:val="Compact"/>
              <w:jc w:val="left"/>
            </w:pPr>
            <w:r>
              <w:t xml:space="preserve">6</w:t>
            </w:r>
          </w:p>
        </w:tc>
        <w:tc>
          <w:tcPr/>
          <w:p>
            <w:pPr>
              <w:pStyle w:val="Compact"/>
              <w:jc w:val="left"/>
            </w:pPr>
            <w:r>
              <w:t xml:space="preserve">Earthing and lightning protection system upgrade including 3 new earth pits, 16mm² earth conductor, and earth resistance test (target &lt; 5 ohms)</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Supply and installation of 1 new 3-phase TNB meter (100A) and associated meter box, subject to TNB approval in Kuala Lumpur</w:t>
            </w:r>
          </w:p>
        </w:tc>
        <w:tc>
          <w:tcPr/>
          <w:p>
            <w:pPr>
              <w:pStyle w:val="Compact"/>
              <w:jc w:val="left"/>
            </w:pPr>
            <w:r>
              <w:t xml:space="preserve">1</w:t>
            </w:r>
          </w:p>
        </w:tc>
        <w:tc>
          <w:tcPr/>
          <w:p>
            <w:pPr>
              <w:pStyle w:val="Compact"/>
              <w:jc w:val="left"/>
            </w:pPr>
            <w:r>
              <w:t xml:space="preserve">Lot</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8</w:t>
            </w:r>
          </w:p>
        </w:tc>
        <w:tc>
          <w:tcPr/>
          <w:p>
            <w:pPr>
              <w:pStyle w:val="Compact"/>
              <w:jc w:val="left"/>
            </w:pPr>
            <w:r>
              <w:t xml:space="preserve">Full electrical safety inspection, thermal imaging scan, and issuance of Certificate of Compliance (CoC) as required by Suruhanjaya Tenaga</w:t>
            </w:r>
          </w:p>
        </w:tc>
        <w:tc>
          <w:tcPr/>
          <w:p>
            <w:pPr>
              <w:pStyle w:val="Compact"/>
              <w:jc w:val="left"/>
            </w:pPr>
            <w:r>
              <w:t xml:space="preserve">1</w:t>
            </w:r>
          </w:p>
        </w:tc>
        <w:tc>
          <w:tcPr/>
          <w:p>
            <w:pPr>
              <w:pStyle w:val="Compact"/>
              <w:jc w:val="left"/>
            </w:pPr>
            <w:r>
              <w:t xml:space="preserve">Lot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9</w:t>
            </w:r>
          </w:p>
        </w:tc>
        <w:tc>
          <w:tcPr/>
          <w:p>
            <w:pPr>
              <w:pStyle w:val="Compact"/>
              <w:jc w:val="left"/>
            </w:pPr>
            <w:r>
              <w:t xml:space="preserve">Labour charges for all</w:t>
            </w:r>
            <w:r>
              <w:t xml:space="preserve"> </w:t>
            </w:r>
            <w:r>
              <w:t xml:space="preserve">Electrician</w:t>
            </w:r>
            <w:r>
              <w:t xml:space="preserve"> </w:t>
            </w:r>
            <w:r>
              <w:t xml:space="preserve">and helper personnel (estimated 12 man-days, 2 electricians + 1 helper per day)</w:t>
            </w:r>
          </w:p>
        </w:tc>
        <w:tc>
          <w:tcPr/>
          <w:p>
            <w:pPr>
              <w:pStyle w:val="Compact"/>
              <w:jc w:val="left"/>
            </w:pPr>
            <w:r>
              <w:t xml:space="preserve">12</w:t>
            </w:r>
          </w:p>
        </w:tc>
        <w:tc>
          <w:tcPr/>
          <w:p>
            <w:pPr>
              <w:pStyle w:val="Compact"/>
              <w:jc w:val="left"/>
            </w:pPr>
            <w:r>
              <w:t xml:space="preserve">Day</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10</w:t>
            </w:r>
          </w:p>
        </w:tc>
        <w:tc>
          <w:tcPr/>
          <w:p>
            <w:pPr>
              <w:pStyle w:val="Compact"/>
              <w:jc w:val="left"/>
            </w:pPr>
            <w:r>
              <w:t xml:space="preserve">Waste disposal, site cleaning, and minor civil works (chasing, patching, and painting of affected wall areas)</w:t>
            </w:r>
          </w:p>
        </w:tc>
        <w:tc>
          <w:tcPr/>
          <w:p>
            <w:pPr>
              <w:pStyle w:val="Compact"/>
              <w:jc w:val="left"/>
            </w:pPr>
            <w:r>
              <w:t xml:space="preserve">1</w:t>
            </w:r>
          </w:p>
        </w:tc>
        <w:tc>
          <w:tcPr/>
          <w:p>
            <w:pPr>
              <w:pStyle w:val="Compact"/>
              <w:jc w:val="left"/>
            </w:pPr>
            <w:r>
              <w:t xml:space="preserve">Lot</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right"/>
            </w:pPr>
            <w:r>
              <w:t xml:space="preserve">Subtotal (RM)</w:t>
            </w:r>
          </w:p>
        </w:tc>
        <w:tc>
          <w:tcPr/>
          <w:p>
            <w:pPr>
              <w:pStyle w:val="Compact"/>
              <w:jc w:val="left"/>
            </w:pPr>
            <w:r>
              <w:t xml:space="preserve">44,085.00</w:t>
            </w:r>
          </w:p>
        </w:tc>
      </w:tr>
      <w:tr>
        <w:tc>
          <w:tcPr>
            <w:gridSpan w:val="5"/>
          </w:tcPr>
          <w:p>
            <w:pPr>
              <w:pStyle w:val="Compact"/>
              <w:jc w:val="right"/>
            </w:pPr>
            <w:r>
              <w:t xml:space="preserve">SST @ 8%</w:t>
            </w:r>
          </w:p>
        </w:tc>
        <w:tc>
          <w:tcPr/>
          <w:p>
            <w:pPr>
              <w:pStyle w:val="Compact"/>
              <w:jc w:val="left"/>
            </w:pPr>
            <w:r>
              <w:t xml:space="preserve">3,526.80</w:t>
            </w:r>
          </w:p>
        </w:tc>
      </w:tr>
      <w:tr>
        <w:tc>
          <w:tcPr>
            <w:gridSpan w:val="5"/>
          </w:tcPr>
          <w:p>
            <w:pPr>
              <w:pStyle w:val="Compact"/>
              <w:jc w:val="right"/>
            </w:pPr>
            <w:r>
              <w:t xml:space="preserve">TOTAL AMOUNT (RM)</w:t>
            </w:r>
          </w:p>
        </w:tc>
        <w:tc>
          <w:tcPr/>
          <w:p>
            <w:pPr>
              <w:pStyle w:val="Compact"/>
              <w:jc w:val="left"/>
            </w:pPr>
            <w:r>
              <w:t xml:space="preserve">47,611.80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prices may be revised to reflect current market rates for materials and labour in</w:t>
      </w:r>
      <w:r>
        <w:t xml:space="preserve"> </w:t>
      </w:r>
      <w:r>
        <w:t xml:space="preserve">Malaysia Kuala Lumpur</w:t>
      </w:r>
      <w:r>
        <w:t xml:space="preserve">.</w:t>
      </w:r>
    </w:p>
    <w:p>
      <w:pPr>
        <w:numPr>
          <w:ilvl w:val="0"/>
          <w:numId w:val="1001"/>
        </w:numPr>
        <w:pStyle w:val="Compact"/>
      </w:pPr>
      <w:r>
        <w:t xml:space="preserve">Payment terms: 40% advance payment upon acceptance of this</w:t>
      </w:r>
      <w:r>
        <w:t xml:space="preserve"> </w:t>
      </w:r>
      <w:r>
        <w:t xml:space="preserve">Quotation Estimate</w:t>
      </w:r>
      <w:r>
        <w:t xml:space="preserve">, 40% upon completion of 70% of the works, and the remaining 20% upon final handover and issuance of the Certificate of Compliance.</w:t>
      </w:r>
    </w:p>
    <w:p>
      <w:pPr>
        <w:numPr>
          <w:ilvl w:val="0"/>
          <w:numId w:val="1001"/>
        </w:numPr>
        <w:pStyle w:val="Compact"/>
      </w:pPr>
      <w:r>
        <w:t xml:space="preserve">All payments shall be made via bank transfer to VoltEdge Electrical Solutions Sdn. Bhd., Maybank Account No. 5123-4567-8901, SWIFT: BMMBMYKL.</w:t>
      </w:r>
    </w:p>
    <w:p>
      <w:pPr>
        <w:numPr>
          <w:ilvl w:val="0"/>
          <w:numId w:val="1001"/>
        </w:numPr>
        <w:pStyle w:val="Compact"/>
      </w:pPr>
      <w:r>
        <w:t xml:space="preserve">The</w:t>
      </w:r>
      <w:r>
        <w:t xml:space="preserve"> </w:t>
      </w:r>
      <w:r>
        <w:t xml:space="preserve">Electrician</w:t>
      </w:r>
      <w:r>
        <w:t xml:space="preserve"> </w:t>
      </w:r>
      <w:r>
        <w:t xml:space="preserve">team shall commence works within five (5) working days of receiving the advance payment and written approval from the client.</w:t>
      </w:r>
    </w:p>
    <w:p>
      <w:pPr>
        <w:numPr>
          <w:ilvl w:val="0"/>
          <w:numId w:val="1001"/>
        </w:numPr>
        <w:pStyle w:val="Compact"/>
      </w:pPr>
      <w:r>
        <w:t xml:space="preserve">Estimated project duration: 12 to 15 working days, subject to TNB coordination for meter replacement and any unforeseen structural complications.</w:t>
      </w:r>
    </w:p>
    <w:p>
      <w:pPr>
        <w:numPr>
          <w:ilvl w:val="0"/>
          <w:numId w:val="1001"/>
        </w:numPr>
        <w:pStyle w:val="Compact"/>
      </w:pPr>
      <w:r>
        <w:t xml:space="preserve">All materials supplied shall be of TNB-approved quality and carry a minimum 12-month manufacturer warranty. Labour workmanship is guaranteed for a period of twenty-four (24) months from the date of completion.</w:t>
      </w:r>
    </w:p>
    <w:p>
      <w:pPr>
        <w:numPr>
          <w:ilvl w:val="0"/>
          <w:numId w:val="1001"/>
        </w:numPr>
        <w:pStyle w:val="Compact"/>
      </w:pPr>
      <w:r>
        <w:t xml:space="preserve">Any additional works not specified in this</w:t>
      </w:r>
      <w:r>
        <w:t xml:space="preserve"> </w:t>
      </w:r>
      <w:r>
        <w:t xml:space="preserve">Quotation Estimate</w:t>
      </w:r>
      <w:r>
        <w:t xml:space="preserve"> </w:t>
      </w:r>
      <w:r>
        <w:t xml:space="preserve">shall be subject to a separate written variation order approved by both parties before execution.</w:t>
      </w:r>
    </w:p>
    <w:p>
      <w:pPr>
        <w:numPr>
          <w:ilvl w:val="0"/>
          <w:numId w:val="1001"/>
        </w:numPr>
        <w:pStyle w:val="Compact"/>
      </w:pPr>
      <w:r>
        <w:t xml:space="preserve">The client is responsible for obtaining all necessary approvals from the building management committee of The Ritz Residences and any permits required by the Kuala Lumpur City Hall (DBKL) prior to commencement of works.</w:t>
      </w:r>
    </w:p>
    <w:p>
      <w:pPr>
        <w:numPr>
          <w:ilvl w:val="0"/>
          <w:numId w:val="1001"/>
        </w:numPr>
        <w:pStyle w:val="Compact"/>
      </w:pPr>
      <w:r>
        <w:t xml:space="preserve">This</w:t>
      </w:r>
      <w:r>
        <w:t xml:space="preserve"> </w:t>
      </w:r>
      <w:r>
        <w:t xml:space="preserve">Quotation Estimate</w:t>
      </w:r>
      <w:r>
        <w:t xml:space="preserve"> </w:t>
      </w:r>
      <w:r>
        <w:t xml:space="preserve">does not include TNB connection fees, DBKL permit fees, or any third-party inspection charges, which shall be borne directly by the client.</w:t>
      </w:r>
    </w:p>
    <w:p>
      <w:pPr>
        <w:numPr>
          <w:ilvl w:val="0"/>
          <w:numId w:val="1001"/>
        </w:numPr>
        <w:pStyle w:val="Compact"/>
      </w:pPr>
      <w:r>
        <w:t xml:space="preserve">In the event of a dispute, both parties agree to resolve matters amicably. Failing resolution, the dispute shall be referred to the Small Claims Court in</w:t>
      </w:r>
      <w:r>
        <w:t xml:space="preserve"> </w:t>
      </w:r>
      <w:r>
        <w:t xml:space="preserve">Malaysia Kuala Lumpur</w:t>
      </w:r>
      <w:r>
        <w:t xml:space="preserve">.</w:t>
      </w:r>
    </w:p>
    <w:bookmarkEnd w:id="23"/>
    <w:bookmarkStart w:id="24" w:name="acceptance-authorisation"/>
    <w:p>
      <w:pPr>
        <w:pStyle w:val="Heading2"/>
      </w:pPr>
      <w:r>
        <w:t xml:space="preserve">4. Acceptance &amp; Authorisation</w:t>
      </w:r>
    </w:p>
    <w:p>
      <w:pPr>
        <w:pStyle w:val="FirstParagraph"/>
      </w:pPr>
      <w:r>
        <w:t xml:space="preserve">By signing below, the client acknowledges and accepts this</w:t>
      </w:r>
      <w:r>
        <w:t xml:space="preserve"> </w:t>
      </w:r>
      <w:r>
        <w:t xml:space="preserve">Quotation Estimate</w:t>
      </w:r>
      <w:r>
        <w:t xml:space="preserve"> </w:t>
      </w:r>
      <w:r>
        <w:t xml:space="preserve">in full, including all terms, conditions, pricing, and scope of work as described herein. The undersigned authorises VoltEdge Electrical Solutions Sdn. Bhd. to proceed with the</w:t>
      </w:r>
      <w:r>
        <w:t xml:space="preserve"> </w:t>
      </w:r>
      <w:r>
        <w:t xml:space="preserve">Electrician</w:t>
      </w:r>
      <w:r>
        <w:t xml:space="preserve"> </w:t>
      </w:r>
      <w:r>
        <w:t xml:space="preserve">works at the stated property in</w:t>
      </w:r>
      <w:r>
        <w:t xml:space="preserve"> </w:t>
      </w:r>
      <w:r>
        <w:t xml:space="preserve">Malaysia Kuala Lumpur</w:t>
      </w:r>
      <w:r>
        <w:t xml:space="preserve"> </w:t>
      </w:r>
      <w:r>
        <w:t xml:space="preserve">upon receipt of the advance payment.</w:t>
      </w:r>
    </w:p>
    <w:p>
      <w:pPr>
        <w:pStyle w:val="BodyText"/>
      </w:pPr>
      <w:r>
        <w:rPr>
          <w:bCs/>
          <w:b/>
        </w:rPr>
        <w:t xml:space="preserve">Client Name:</w:t>
      </w:r>
      <w:r>
        <w:t xml:space="preserve"> </w:t>
      </w:r>
      <w:r>
        <w:t xml:space="preserve">Mr. Tan Wei Ming</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VoltEdge Electrical Solutions Sdn. Bhd.</w:t>
      </w:r>
      <w:r>
        <w:br/>
      </w:r>
      <w:r>
        <w:rPr>
          <w:bCs/>
          <w:b/>
        </w:rPr>
        <w:t xml:space="preserve">Authorised Signatory:</w:t>
      </w:r>
      <w:r>
        <w:t xml:space="preserve"> </w:t>
      </w:r>
      <w:r>
        <w:t xml:space="preserve">_________________________</w:t>
      </w:r>
      <w:r>
        <w:br/>
      </w:r>
      <w:r>
        <w:rPr>
          <w:bCs/>
          <w:b/>
        </w:rPr>
        <w:t xml:space="preserve">Name:</w:t>
      </w:r>
      <w:r>
        <w:t xml:space="preserve"> </w:t>
      </w:r>
      <w:r>
        <w:t xml:space="preserve">Ahmad Faizal bin Rahman (Project Manager)</w:t>
      </w:r>
      <w:r>
        <w:br/>
      </w:r>
      <w:r>
        <w:rPr>
          <w:bCs/>
          <w:b/>
        </w:rPr>
        <w:t xml:space="preserve">Date:</w:t>
      </w:r>
      <w:r>
        <w:t xml:space="preserve"> </w:t>
      </w:r>
      <w:r>
        <w:t xml:space="preserve">_______________</w:t>
      </w:r>
    </w:p>
    <w:p>
      <w:pPr>
        <w:pStyle w:val="BodyText"/>
      </w:pPr>
      <w:r>
        <w:t xml:space="preserve">This</w:t>
      </w:r>
      <w:r>
        <w:t xml:space="preserve"> </w:t>
      </w:r>
      <w:r>
        <w:t xml:space="preserve">Quotation Estimate</w:t>
      </w:r>
      <w:r>
        <w:t xml:space="preserve"> </w:t>
      </w:r>
      <w:r>
        <w:t xml:space="preserve">document is the property of VoltEdge Electrical Solutions Sdn. Bhd. and is issued exclusively for the client named above.</w:t>
      </w:r>
      <w:r>
        <w:t xml:space="preserve"> </w:t>
      </w:r>
      <w:r>
        <w:t xml:space="preserve">All electrical works are performed by licensed</w:t>
      </w:r>
      <w:r>
        <w:t xml:space="preserve"> </w:t>
      </w:r>
      <w:r>
        <w:t xml:space="preserve">Electrician</w:t>
      </w:r>
      <w:r>
        <w:t xml:space="preserve"> </w:t>
      </w:r>
      <w:r>
        <w:t xml:space="preserve">personnel registered with CIDB and Suruhanjaya Tenaga, operating within the jurisdiction of</w:t>
      </w:r>
      <w:r>
        <w:t xml:space="preserve"> </w:t>
      </w:r>
      <w:r>
        <w:t xml:space="preserve">Malaysia Kuala Lumpur</w:t>
      </w:r>
      <w:r>
        <w:t xml:space="preserve">.</w:t>
      </w:r>
      <w:r>
        <w:t xml:space="preserve"> </w:t>
      </w:r>
      <w:r>
        <w:t xml:space="preserve">© 2025 VoltEdge Electrical Solutions Sdn. Bhd. (201901045678).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Malaysia Kuala Lumpur</dc:title>
  <dc:creator/>
  <dc:language>en</dc:language>
  <cp:keywords/>
  <dcterms:created xsi:type="dcterms:W3CDTF">2026-10-10T03:15:48Z</dcterms:created>
  <dcterms:modified xsi:type="dcterms:W3CDTF">2026-10-10T03:15:48Z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