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Peru</w:t>
      </w:r>
      <w:r>
        <w:t xml:space="preserve"> </w:t>
      </w:r>
      <w:r>
        <w:t xml:space="preserve">Lima</w:t>
      </w:r>
    </w:p>
    <w:bookmarkStart w:id="20" w:name="quotation-estimate"/>
    <w:p>
      <w:pPr>
        <w:pStyle w:val="Heading1"/>
      </w:pPr>
      <w:r>
        <w:t xml:space="preserve">QUOTATION ESTIMATE</w:t>
      </w:r>
    </w:p>
    <w:p>
      <w:pPr>
        <w:pStyle w:val="FirstParagraph"/>
      </w:pPr>
      <w:r>
        <w:t xml:space="preserve">Professional Electrician Services — Peru Lima</w:t>
      </w:r>
    </w:p>
    <w:p>
      <w:pPr>
        <w:pStyle w:val="BodyText"/>
      </w:pPr>
      <w:r>
        <w:t xml:space="preserve">Document No: QE-2025-LIM-0847 | Date of Issue: June 12, 2025</w:t>
      </w:r>
    </w:p>
    <w:bookmarkEnd w:id="20"/>
    <w:p>
      <w:pPr>
        <w:pStyle w:val="BodyText"/>
      </w:pPr>
      <w:r>
        <w:rPr>
          <w:bCs/>
          <w:b/>
        </w:rPr>
        <w:t xml:space="preserve">Service Provider</w:t>
      </w:r>
      <w:r>
        <w:t xml:space="preserve"> </w:t>
      </w:r>
      <w:r>
        <w:t xml:space="preserve">ElectroLima Solutions S.A.C.</w:t>
      </w:r>
      <w:r>
        <w:br/>
      </w:r>
      <w:r>
        <w:t xml:space="preserve">Av. Javier Prado Este 1245, San Isidro</w:t>
      </w:r>
      <w:r>
        <w:br/>
      </w:r>
      <w:r>
        <w:t xml:space="preserve">Lima, Peru — CEP 15081</w:t>
      </w:r>
      <w:r>
        <w:br/>
      </w:r>
      <w:r>
        <w:t xml:space="preserve">RUC: 20601234567</w:t>
      </w:r>
      <w:r>
        <w:br/>
      </w:r>
      <w:r>
        <w:t xml:space="preserve">Tel: +51 1 456-7890</w:t>
      </w:r>
      <w:r>
        <w:br/>
      </w:r>
      <w:r>
        <w:t xml:space="preserve">Email: quotes@electrolima.pe</w:t>
      </w:r>
    </w:p>
    <w:p>
      <w:pPr>
        <w:pStyle w:val="BodyText"/>
      </w:pPr>
      <w:r>
        <w:rPr>
          <w:bCs/>
          <w:b/>
        </w:rPr>
        <w:t xml:space="preserve">Client Information</w:t>
      </w:r>
      <w:r>
        <w:t xml:space="preserve"> </w:t>
      </w:r>
      <w:r>
        <w:t xml:space="preserve">Ing. Carlos Mendoza Ríos</w:t>
      </w:r>
      <w:r>
        <w:br/>
      </w:r>
      <w:r>
        <w:t xml:space="preserve">Jr. Los Pinos 456, Dpto. 802</w:t>
      </w:r>
      <w:r>
        <w:br/>
      </w:r>
      <w:r>
        <w:t xml:space="preserve">Miraflores, Lima, Peru — CEP 15074</w:t>
      </w:r>
      <w:r>
        <w:br/>
      </w:r>
      <w:r>
        <w:t xml:space="preserve">DNI: 45678912</w:t>
      </w:r>
      <w:r>
        <w:br/>
      </w:r>
      <w:r>
        <w:t xml:space="preserve">Tel: +51 987-654-321</w:t>
      </w:r>
      <w:r>
        <w:br/>
      </w:r>
      <w:r>
        <w:t xml:space="preserve">Email: c.mendoza@email.com</w:t>
      </w:r>
    </w:p>
    <w:bookmarkStart w:id="21" w:name="purpose-of-this-quotation-estimate"/>
    <w:p>
      <w:pPr>
        <w:pStyle w:val="Heading2"/>
      </w:pPr>
      <w:r>
        <w:t xml:space="preserve">1. Purpose of This Quotation Estimate</w:t>
      </w:r>
    </w:p>
    <w:p>
      <w:pPr>
        <w:pStyle w:val="FirstParagraph"/>
      </w:pPr>
      <w:r>
        <w:t xml:space="preserve">This</w:t>
      </w:r>
      <w:r>
        <w:t xml:space="preserve"> </w:t>
      </w:r>
      <w:r>
        <w:rPr>
          <w:bCs/>
          <w:b/>
        </w:rPr>
        <w:t xml:space="preserve">Quotation Estimate</w:t>
      </w:r>
      <w:r>
        <w:t xml:space="preserve"> </w:t>
      </w:r>
      <w:r>
        <w:t xml:space="preserve">is formally issued by ElectroLima Solutions S.A.C., a licensed and certified</w:t>
      </w:r>
      <w:r>
        <w:t xml:space="preserve"> </w:t>
      </w:r>
      <w:r>
        <w:rPr>
          <w:bCs/>
          <w:b/>
        </w:rPr>
        <w:t xml:space="preserve">Electrician</w:t>
      </w:r>
      <w:r>
        <w:t xml:space="preserve"> </w:t>
      </w:r>
      <w:r>
        <w:t xml:space="preserve">service provider operating in</w:t>
      </w:r>
      <w:r>
        <w:t xml:space="preserve"> </w:t>
      </w:r>
      <w:r>
        <w:rPr>
          <w:bCs/>
          <w:b/>
        </w:rPr>
        <w:t xml:space="preserve">Peru Lima</w:t>
      </w:r>
      <w:r>
        <w:t xml:space="preserve">, to present a comprehensive cost breakdown for the electrical installation, inspection, and maintenance work requested by the client. This document serves as a binding proposal for the scope of work described herein and is valid for a period of thirty (30) calendar days from the date of issue. All pricing is expressed in Peruvian Soles (PEN) and is subject to the terms and conditions outlined in Section 6 of this</w:t>
      </w:r>
      <w:r>
        <w:t xml:space="preserve"> </w:t>
      </w:r>
      <w:r>
        <w:rPr>
          <w:bCs/>
          <w:b/>
        </w:rPr>
        <w:t xml:space="preserve">Quotation Estimate</w:t>
      </w:r>
      <w:r>
        <w:t xml:space="preserve">.</w:t>
      </w:r>
    </w:p>
    <w:bookmarkEnd w:id="21"/>
    <w:bookmarkStart w:id="22" w:name="X91dfb308dc30c586c8d628f83e6eee2ee826dbf"/>
    <w:p>
      <w:pPr>
        <w:pStyle w:val="Heading2"/>
      </w:pPr>
      <w:r>
        <w:t xml:space="preserve">2. Scope of Work — Electrician Services in Peru Lima</w:t>
      </w:r>
    </w:p>
    <w:p>
      <w:pPr>
        <w:pStyle w:val="FirstParagraph"/>
      </w:pPr>
      <w:r>
        <w:t xml:space="preserve">The following</w:t>
      </w:r>
      <w:r>
        <w:t xml:space="preserve"> </w:t>
      </w:r>
      <w:r>
        <w:rPr>
          <w:bCs/>
          <w:b/>
        </w:rPr>
        <w:t xml:space="preserve">Electrician</w:t>
      </w:r>
      <w:r>
        <w:t xml:space="preserve"> </w:t>
      </w:r>
      <w:r>
        <w:t xml:space="preserve">services have been scoped based on the site visit conducted on June 5, 2025, at the client's residential property located in the Miraflores district of</w:t>
      </w:r>
      <w:r>
        <w:t xml:space="preserve"> </w:t>
      </w:r>
      <w:r>
        <w:rPr>
          <w:bCs/>
          <w:b/>
        </w:rPr>
        <w:t xml:space="preserve">Peru Lima</w:t>
      </w:r>
      <w:r>
        <w:t xml:space="preserve">. The work encompasses the complete renovation of the electrical system in accordance with the Peruvian National Electrical Regulation (RNE) and the standards established by OSINERGMIN (Organismo Supervisor de la Inversión en Energía y Minería).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Electrician Service</w:t>
            </w:r>
          </w:p>
        </w:tc>
        <w:tc>
          <w:tcPr/>
          <w:p>
            <w:pPr>
              <w:pStyle w:val="Compact"/>
              <w:jc w:val="left"/>
            </w:pPr>
            <w:r>
              <w:t xml:space="preserve">Quantity</w:t>
            </w:r>
          </w:p>
        </w:tc>
        <w:tc>
          <w:tcPr/>
          <w:p>
            <w:pPr>
              <w:pStyle w:val="Compact"/>
              <w:jc w:val="left"/>
            </w:pPr>
            <w:r>
              <w:t xml:space="preserve">Unit (PEN)</w:t>
            </w:r>
          </w:p>
        </w:tc>
        <w:tc>
          <w:tcPr/>
          <w:p>
            <w:pPr>
              <w:pStyle w:val="Compact"/>
              <w:jc w:val="left"/>
            </w:pPr>
            <w:r>
              <w:t xml:space="preserve">Subtotal (PEN)</w:t>
            </w:r>
          </w:p>
        </w:tc>
        <w:tc>
          <w:tcPr/>
          <w:p>
            <w:pPr>
              <w:pStyle w:val="Compact"/>
              <w:jc w:val="left"/>
            </w:pPr>
            <w:r>
              <w:t xml:space="preserve">Unit of Measure</w:t>
            </w:r>
          </w:p>
        </w:tc>
      </w:tr>
      <w:tr>
        <w:tc>
          <w:tcPr/>
          <w:p>
            <w:pPr>
              <w:pStyle w:val="Compact"/>
              <w:jc w:val="left"/>
            </w:pPr>
            <w:r>
              <w:t xml:space="preserve">1</w:t>
            </w:r>
          </w:p>
        </w:tc>
        <w:tc>
          <w:tcPr/>
          <w:p>
            <w:pPr>
              <w:pStyle w:val="Compact"/>
              <w:jc w:val="left"/>
            </w:pPr>
            <w:r>
              <w:t xml:space="preserve">Complete replacement of the main electrical panel (tablero eléctrico) including 12 double-pole circuit breakers rated at 25A, conforming to RNE standards for residential installations in Peru Lima</w:t>
            </w:r>
          </w:p>
        </w:tc>
        <w:tc>
          <w:tcPr/>
          <w:p>
            <w:pPr>
              <w:pStyle w:val="Compact"/>
              <w:jc w:val="left"/>
            </w:pPr>
            <w:r>
              <w:t xml:space="preserve">1</w:t>
            </w:r>
          </w:p>
        </w:tc>
        <w:tc>
          <w:tcPr/>
          <w:p>
            <w:pPr>
              <w:pStyle w:val="Compact"/>
              <w:jc w:val="left"/>
            </w:pPr>
            <w:r>
              <w:t xml:space="preserve">3,850.00</w:t>
            </w:r>
          </w:p>
        </w:tc>
        <w:tc>
          <w:tcPr/>
          <w:p>
            <w:pPr>
              <w:pStyle w:val="Compact"/>
              <w:jc w:val="left"/>
            </w:pPr>
            <w:r>
              <w:t xml:space="preserve">3,850.00</w:t>
            </w:r>
          </w:p>
        </w:tc>
        <w:tc>
          <w:tcPr/>
          <w:p>
            <w:pPr>
              <w:pStyle w:val="Compact"/>
              <w:jc w:val="left"/>
            </w:pPr>
            <w:r>
              <w:t xml:space="preserve">Lump Sum</w:t>
            </w:r>
          </w:p>
        </w:tc>
      </w:tr>
      <w:tr>
        <w:tc>
          <w:tcPr/>
          <w:p>
            <w:pPr>
              <w:pStyle w:val="Compact"/>
              <w:jc w:val="left"/>
            </w:pPr>
            <w:r>
              <w:t xml:space="preserve">2</w:t>
            </w:r>
          </w:p>
        </w:tc>
        <w:tc>
          <w:tcPr/>
          <w:p>
            <w:pPr>
              <w:pStyle w:val="Compact"/>
              <w:jc w:val="left"/>
            </w:pPr>
            <w:r>
              <w:t xml:space="preserve">Installation of new copper wiring (calibre 10 AWG and 12 AWG) for all interior circuits, including lighting, general outlets, and dedicated circuits for kitchen appliances</w:t>
            </w:r>
          </w:p>
        </w:tc>
        <w:tc>
          <w:tcPr/>
          <w:p>
            <w:pPr>
              <w:pStyle w:val="Compact"/>
              <w:jc w:val="left"/>
            </w:pPr>
            <w:r>
              <w:t xml:space="preserve">180</w:t>
            </w:r>
          </w:p>
        </w:tc>
        <w:tc>
          <w:tcPr/>
          <w:p>
            <w:pPr>
              <w:pStyle w:val="Compact"/>
              <w:jc w:val="left"/>
            </w:pPr>
            <w:r>
              <w:t xml:space="preserve">12.50</w:t>
            </w:r>
          </w:p>
        </w:tc>
        <w:tc>
          <w:tcPr/>
          <w:p>
            <w:pPr>
              <w:pStyle w:val="Compact"/>
              <w:jc w:val="left"/>
            </w:pPr>
            <w:r>
              <w:t xml:space="preserve">2,250.00</w:t>
            </w:r>
          </w:p>
        </w:tc>
        <w:tc>
          <w:tcPr/>
          <w:p>
            <w:pPr>
              <w:pStyle w:val="Compact"/>
              <w:jc w:val="left"/>
            </w:pPr>
            <w:r>
              <w:t xml:space="preserve">Meters</w:t>
            </w:r>
          </w:p>
        </w:tc>
      </w:tr>
      <w:tr>
        <w:tc>
          <w:tcPr/>
          <w:p>
            <w:pPr>
              <w:pStyle w:val="Compact"/>
              <w:jc w:val="left"/>
            </w:pPr>
            <w:r>
              <w:t xml:space="preserve">3</w:t>
            </w:r>
          </w:p>
        </w:tc>
        <w:tc>
          <w:tcPr/>
          <w:p>
            <w:pPr>
              <w:pStyle w:val="Compact"/>
              <w:jc w:val="left"/>
            </w:pPr>
            <w:r>
              <w:t xml:space="preserve">Replacement and installation of 24 residential-grade electrical outlets (tomacorrientes) with grounding, distributed across three floors of the residence</w:t>
            </w:r>
          </w:p>
        </w:tc>
        <w:tc>
          <w:tcPr/>
          <w:p>
            <w:pPr>
              <w:pStyle w:val="Compact"/>
              <w:jc w:val="left"/>
            </w:pPr>
            <w:r>
              <w:t xml:space="preserve">24</w:t>
            </w:r>
          </w:p>
        </w:tc>
        <w:tc>
          <w:tcPr/>
          <w:p>
            <w:pPr>
              <w:pStyle w:val="Compact"/>
              <w:jc w:val="left"/>
            </w:pPr>
            <w:r>
              <w:t xml:space="preserve">85.00</w:t>
            </w:r>
          </w:p>
        </w:tc>
        <w:tc>
          <w:tcPr/>
          <w:p>
            <w:pPr>
              <w:pStyle w:val="Compact"/>
              <w:jc w:val="left"/>
            </w:pPr>
            <w:r>
              <w:t xml:space="preserve">2,040.00</w:t>
            </w:r>
          </w:p>
        </w:tc>
        <w:tc>
          <w:tcPr/>
          <w:p>
            <w:pPr>
              <w:pStyle w:val="Compact"/>
              <w:jc w:val="left"/>
            </w:pPr>
            <w:r>
              <w:t xml:space="preserve">Units</w:t>
            </w:r>
          </w:p>
        </w:tc>
      </w:tr>
      <w:tr>
        <w:tc>
          <w:tcPr/>
          <w:p>
            <w:pPr>
              <w:pStyle w:val="Compact"/>
              <w:jc w:val="left"/>
            </w:pPr>
            <w:r>
              <w:t xml:space="preserve">4</w:t>
            </w:r>
          </w:p>
        </w:tc>
        <w:tc>
          <w:tcPr/>
          <w:p>
            <w:pPr>
              <w:pStyle w:val="Compact"/>
              <w:jc w:val="left"/>
            </w:pPr>
            <w:r>
              <w:t xml:space="preserve">Installation of 18 LED-compatible lighting fixtures with individual dimmer switches in living room, bedrooms, and hallway areas</w:t>
            </w:r>
          </w:p>
        </w:tc>
        <w:tc>
          <w:tcPr/>
          <w:p>
            <w:pPr>
              <w:pStyle w:val="Compact"/>
              <w:jc w:val="left"/>
            </w:pPr>
            <w:r>
              <w:t xml:space="preserve">18</w:t>
            </w:r>
          </w:p>
        </w:tc>
        <w:tc>
          <w:tcPr/>
          <w:p>
            <w:pPr>
              <w:pStyle w:val="Compact"/>
              <w:jc w:val="left"/>
            </w:pPr>
            <w:r>
              <w:t xml:space="preserve">120.00</w:t>
            </w:r>
          </w:p>
        </w:tc>
        <w:tc>
          <w:tcPr/>
          <w:p>
            <w:pPr>
              <w:pStyle w:val="Compact"/>
              <w:jc w:val="left"/>
            </w:pPr>
            <w:r>
              <w:t xml:space="preserve">2,160.00</w:t>
            </w:r>
          </w:p>
        </w:tc>
        <w:tc>
          <w:tcPr/>
          <w:p>
            <w:pPr>
              <w:pStyle w:val="Compact"/>
              <w:jc w:val="left"/>
            </w:pPr>
            <w:r>
              <w:t xml:space="preserve">Units</w:t>
            </w:r>
          </w:p>
        </w:tc>
      </w:tr>
      <w:tr>
        <w:tc>
          <w:tcPr/>
          <w:p>
            <w:pPr>
              <w:pStyle w:val="Compact"/>
              <w:jc w:val="left"/>
            </w:pPr>
            <w:r>
              <w:t xml:space="preserve">5</w:t>
            </w:r>
          </w:p>
        </w:tc>
        <w:tc>
          <w:tcPr/>
          <w:p>
            <w:pPr>
              <w:pStyle w:val="Compact"/>
              <w:jc w:val="left"/>
            </w:pPr>
            <w:r>
              <w:t xml:space="preserve">Installation of a dedicated 40A circuit with thermal-magnetic protection for the electric water heater (calentador de agua) in the master bathroom</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c>
          <w:tcPr/>
          <w:p>
            <w:pPr>
              <w:pStyle w:val="Compact"/>
              <w:jc w:val="left"/>
            </w:pPr>
            <w:r>
              <w:t xml:space="preserve">Lump Sum</w:t>
            </w:r>
          </w:p>
        </w:tc>
      </w:tr>
      <w:tr>
        <w:tc>
          <w:tcPr/>
          <w:p>
            <w:pPr>
              <w:pStyle w:val="Compact"/>
              <w:jc w:val="left"/>
            </w:pPr>
            <w:r>
              <w:t xml:space="preserve">6</w:t>
            </w:r>
          </w:p>
        </w:tc>
        <w:tc>
          <w:tcPr/>
          <w:p>
            <w:pPr>
              <w:pStyle w:val="Compact"/>
              <w:jc w:val="left"/>
            </w:pPr>
            <w:r>
              <w:t xml:space="preserve">Installation of surge protection device (SPD) and grounding system (puesta a tierra) with copper rod driven to 3 meters depth, compliant with Peruvian electrical codes for Peru Lima residential zones</w:t>
            </w:r>
          </w:p>
        </w:tc>
        <w:tc>
          <w:tcPr/>
          <w:p>
            <w:pPr>
              <w:pStyle w:val="Compact"/>
              <w:jc w:val="left"/>
            </w:pPr>
            <w:r>
              <w:t xml:space="preserve">1</w:t>
            </w:r>
          </w:p>
        </w:tc>
        <w:tc>
          <w:tcPr/>
          <w:p>
            <w:pPr>
              <w:pStyle w:val="Compact"/>
              <w:jc w:val="left"/>
            </w:pPr>
            <w:r>
              <w:t xml:space="preserve">2,300.00</w:t>
            </w:r>
          </w:p>
        </w:tc>
        <w:tc>
          <w:tcPr/>
          <w:p>
            <w:pPr>
              <w:pStyle w:val="Compact"/>
              <w:jc w:val="left"/>
            </w:pPr>
            <w:r>
              <w:t xml:space="preserve">2,300.00</w:t>
            </w:r>
          </w:p>
        </w:tc>
        <w:tc>
          <w:tcPr/>
          <w:p>
            <w:pPr>
              <w:pStyle w:val="Compact"/>
              <w:jc w:val="left"/>
            </w:pPr>
            <w:r>
              <w:t xml:space="preserve">Lump Sum</w:t>
            </w:r>
          </w:p>
        </w:tc>
      </w:tr>
      <w:tr>
        <w:tc>
          <w:tcPr/>
          <w:p>
            <w:pPr>
              <w:pStyle w:val="Compact"/>
              <w:jc w:val="left"/>
            </w:pPr>
            <w:r>
              <w:t xml:space="preserve">7</w:t>
            </w:r>
          </w:p>
        </w:tc>
        <w:tc>
          <w:tcPr/>
          <w:p>
            <w:pPr>
              <w:pStyle w:val="Compact"/>
              <w:jc w:val="left"/>
            </w:pPr>
            <w:r>
              <w:t xml:space="preserve">Thermographic inspection and diagnostic report of all existing electrical infrastructure prior to renovation, including identification of hot spots, loose connections, and degraded insulation</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Service</w:t>
            </w:r>
          </w:p>
        </w:tc>
      </w:tr>
      <w:tr>
        <w:tc>
          <w:tcPr/>
          <w:p>
            <w:pPr>
              <w:pStyle w:val="Compact"/>
              <w:jc w:val="left"/>
            </w:pPr>
            <w:r>
              <w:t xml:space="preserve">8</w:t>
            </w:r>
          </w:p>
        </w:tc>
        <w:tc>
          <w:tcPr/>
          <w:p>
            <w:pPr>
              <w:pStyle w:val="Compact"/>
              <w:jc w:val="left"/>
            </w:pPr>
            <w:r>
              <w:t xml:space="preserve">Coordination with the local utility provider (Luz del Sur / Electroperú) for service reconnection, meter verification, and issuance of the electrical conformity certificate (Certificado de Conformidad Eléctrica) required by the municipal authority of Miraflores, Peru Lima</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c>
          <w:tcPr/>
          <w:p>
            <w:pPr>
              <w:pStyle w:val="Compact"/>
              <w:jc w:val="left"/>
            </w:pPr>
            <w:r>
              <w:t xml:space="preserve">Service</w:t>
            </w:r>
          </w:p>
        </w:tc>
      </w:tr>
      <w:tr>
        <w:tc>
          <w:tcPr/>
          <w:p>
            <w:pPr>
              <w:pStyle w:val="Compact"/>
              <w:jc w:val="left"/>
            </w:pPr>
            <w:r>
              <w:t xml:space="preserve">9</w:t>
            </w:r>
          </w:p>
        </w:tc>
        <w:tc>
          <w:tcPr/>
          <w:p>
            <w:pPr>
              <w:pStyle w:val="Compact"/>
              <w:jc w:val="left"/>
            </w:pPr>
            <w:r>
              <w:t xml:space="preserve">Provision of all auxiliary materials: electrical conduit (cañería PVC), junction boxes, cable ties, mounting hardware, and finishing materials</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c>
          <w:tcPr/>
          <w:p>
            <w:pPr>
              <w:pStyle w:val="Compact"/>
              <w:jc w:val="left"/>
            </w:pPr>
            <w:r>
              <w:t xml:space="preserve">Lump Sum</w:t>
            </w:r>
          </w:p>
        </w:tc>
      </w:tr>
      <w:tr>
        <w:tc>
          <w:tcPr/>
          <w:p>
            <w:pPr>
              <w:pStyle w:val="Compact"/>
              <w:jc w:val="left"/>
            </w:pPr>
            <w:r>
              <w:t xml:space="preserve">10</w:t>
            </w:r>
          </w:p>
        </w:tc>
        <w:tc>
          <w:tcPr/>
          <w:p>
            <w:pPr>
              <w:pStyle w:val="Compact"/>
              <w:jc w:val="left"/>
            </w:pPr>
            <w:r>
              <w:t xml:space="preserve">Post-installation testing, load balancing verification, and 90-day warranty coverage on all</w:t>
            </w:r>
            <w:r>
              <w:t xml:space="preserve"> </w:t>
            </w:r>
            <w:r>
              <w:rPr>
                <w:bCs/>
                <w:b/>
              </w:rPr>
              <w:t xml:space="preserve">Electrician</w:t>
            </w:r>
            <w:r>
              <w:t xml:space="preserve"> </w:t>
            </w:r>
            <w:r>
              <w:t xml:space="preserve">workmanship performed in</w:t>
            </w:r>
            <w:r>
              <w:t xml:space="preserve"> </w:t>
            </w:r>
            <w:r>
              <w:rPr>
                <w:bCs/>
                <w:b/>
              </w:rPr>
              <w:t xml:space="preserve">Peru Lima</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c>
          <w:tcPr/>
          <w:p>
            <w:pPr>
              <w:pStyle w:val="Compact"/>
              <w:jc w:val="left"/>
            </w:pPr>
            <w:r>
              <w:t xml:space="preserve">Service</w:t>
            </w:r>
          </w:p>
        </w:tc>
      </w:tr>
      <w:tr>
        <w:tc>
          <w:tcPr>
            <w:gridSpan w:val="4"/>
          </w:tcPr>
          <w:p>
            <w:pPr>
              <w:pStyle w:val="Compact"/>
              <w:jc w:val="left"/>
            </w:pPr>
            <w:r>
              <w:t xml:space="preserve">SUBTOTAL (before IGV)</w:t>
            </w:r>
          </w:p>
        </w:tc>
        <w:tc>
          <w:tcPr/>
          <w:p>
            <w:pPr>
              <w:pStyle w:val="Compact"/>
              <w:jc w:val="left"/>
            </w:pPr>
            <w:r>
              <w:t xml:space="preserve">18,750.00</w:t>
            </w:r>
          </w:p>
        </w:tc>
        <w:tc>
          <w:tcPr/>
          <w:p>
            <w:pPr>
              <w:pStyle w:val="Compact"/>
            </w:pPr>
          </w:p>
        </w:tc>
      </w:tr>
      <w:tr>
        <w:tc>
          <w:tcPr>
            <w:gridSpan w:val="4"/>
          </w:tcPr>
          <w:p>
            <w:pPr>
              <w:pStyle w:val="Compact"/>
              <w:jc w:val="left"/>
            </w:pPr>
            <w:r>
              <w:t xml:space="preserve">IGV (18% — Impuesto General a las Ventas, Peru)</w:t>
            </w:r>
          </w:p>
        </w:tc>
        <w:tc>
          <w:tcPr/>
          <w:p>
            <w:pPr>
              <w:pStyle w:val="Compact"/>
              <w:jc w:val="left"/>
            </w:pPr>
            <w:r>
              <w:t xml:space="preserve">3,375.00</w:t>
            </w:r>
          </w:p>
        </w:tc>
        <w:tc>
          <w:tcPr/>
          <w:p>
            <w:pPr>
              <w:pStyle w:val="Compact"/>
            </w:pPr>
          </w:p>
        </w:tc>
      </w:tr>
      <w:tr>
        <w:tc>
          <w:tcPr>
            <w:gridSpan w:val="4"/>
          </w:tcPr>
          <w:p>
            <w:pPr>
              <w:pStyle w:val="Compact"/>
              <w:jc w:val="left"/>
            </w:pPr>
            <w:r>
              <w:t xml:space="preserve">TOTAL QUOTATION ESTIMATE (PEN)</w:t>
            </w:r>
          </w:p>
        </w:tc>
        <w:tc>
          <w:tcPr/>
          <w:p>
            <w:pPr>
              <w:pStyle w:val="Compact"/>
              <w:jc w:val="left"/>
            </w:pPr>
            <w:r>
              <w:t xml:space="preserve">22,125.00</w:t>
            </w:r>
          </w:p>
        </w:tc>
        <w:tc>
          <w:tcPr/>
          <w:p>
            <w:pPr>
              <w:pStyle w:val="Compact"/>
            </w:pPr>
          </w:p>
        </w:tc>
      </w:tr>
    </w:tbl>
    <w:bookmarkEnd w:id="22"/>
    <w:bookmarkStart w:id="23" w:name="project-timeline"/>
    <w:p>
      <w:pPr>
        <w:pStyle w:val="Heading2"/>
      </w:pPr>
      <w:r>
        <w:t xml:space="preserve">3. Project Timeline</w:t>
      </w:r>
    </w:p>
    <w:p>
      <w:pPr>
        <w:pStyle w:val="FirstParagraph"/>
      </w:pPr>
      <w:r>
        <w:t xml:space="preserve">The estimated duration for the completion of all</w:t>
      </w:r>
      <w:r>
        <w:t xml:space="preserve"> </w:t>
      </w:r>
      <w:r>
        <w:rPr>
          <w:bCs/>
          <w:b/>
        </w:rPr>
        <w:t xml:space="preserve">Electrician</w:t>
      </w:r>
      <w:r>
        <w:t xml:space="preserve"> </w:t>
      </w:r>
      <w:r>
        <w:t xml:space="preserve">services described in this</w:t>
      </w:r>
      <w:r>
        <w:t xml:space="preserve"> </w:t>
      </w:r>
      <w:r>
        <w:rPr>
          <w:bCs/>
          <w:b/>
        </w:rPr>
        <w:t xml:space="preserve">Quotation Estimate</w:t>
      </w:r>
      <w:r>
        <w:t xml:space="preserve"> </w:t>
      </w:r>
      <w:r>
        <w:t xml:space="preserve">is fifteen (15) business days from the date of contract signing and receipt of the initial payment. Work will be scheduled between the hours of 08:00 and 17:00, Monday through Saturday, in compliance with the noise and construction regulations of the Municipalidad Metropolitana de Lima. The project will be executed in the Miraflores district of</w:t>
      </w:r>
      <w:r>
        <w:t xml:space="preserve"> </w:t>
      </w:r>
      <w:r>
        <w:rPr>
          <w:bCs/>
          <w:b/>
        </w:rPr>
        <w:t xml:space="preserve">Peru Lima</w:t>
      </w:r>
      <w:r>
        <w:t xml:space="preserve">, and the client will be provided with a detailed daily progress report.</w:t>
      </w:r>
    </w:p>
    <w:bookmarkEnd w:id="23"/>
    <w:bookmarkStart w:id="24" w:name="payment-terms"/>
    <w:p>
      <w:pPr>
        <w:pStyle w:val="Heading2"/>
      </w:pPr>
      <w:r>
        <w:t xml:space="preserve">4. Payment Terms</w:t>
      </w:r>
    </w:p>
    <w:p>
      <w:pPr>
        <w:pStyle w:val="FirstParagraph"/>
      </w:pPr>
      <w:r>
        <w:t xml:space="preserve">Payment for this</w:t>
      </w:r>
      <w:r>
        <w:t xml:space="preserve"> </w:t>
      </w:r>
      <w:r>
        <w:rPr>
          <w:bCs/>
          <w:b/>
        </w:rPr>
        <w:t xml:space="preserve">Quotation Estimate</w:t>
      </w:r>
      <w:r>
        <w:t xml:space="preserve"> </w:t>
      </w:r>
      <w:r>
        <w:t xml:space="preserve">shall be structured as follows:</w:t>
      </w:r>
    </w:p>
    <w:p>
      <w:pPr>
        <w:numPr>
          <w:ilvl w:val="0"/>
          <w:numId w:val="1001"/>
        </w:numPr>
        <w:pStyle w:val="Compact"/>
      </w:pPr>
      <w:r>
        <w:rPr>
          <w:bCs/>
          <w:b/>
        </w:rPr>
        <w:t xml:space="preserve">40% Advance Payment (PEN 8,850.00):</w:t>
      </w:r>
      <w:r>
        <w:t xml:space="preserve"> </w:t>
      </w:r>
      <w:r>
        <w:t xml:space="preserve">Due upon signing of the service contract and prior to commencement of work. This payment covers material procurement and mobilization of the</w:t>
      </w:r>
      <w:r>
        <w:t xml:space="preserve"> </w:t>
      </w:r>
      <w:r>
        <w:rPr>
          <w:bCs/>
          <w:b/>
        </w:rPr>
        <w:t xml:space="preserve">Electrician</w:t>
      </w:r>
      <w:r>
        <w:t xml:space="preserve"> </w:t>
      </w:r>
      <w:r>
        <w:t xml:space="preserve">team.</w:t>
      </w:r>
    </w:p>
    <w:p>
      <w:pPr>
        <w:numPr>
          <w:ilvl w:val="0"/>
          <w:numId w:val="1001"/>
        </w:numPr>
        <w:pStyle w:val="Compact"/>
      </w:pPr>
      <w:r>
        <w:rPr>
          <w:bCs/>
          <w:b/>
        </w:rPr>
        <w:t xml:space="preserve">40% Progress Payment (PEN 8,850.00):</w:t>
      </w:r>
      <w:r>
        <w:t xml:space="preserve"> </w:t>
      </w:r>
      <w:r>
        <w:t xml:space="preserve">Due upon completion of 70% of the installation work, as verified by a joint inspection with the client.</w:t>
      </w:r>
    </w:p>
    <w:p>
      <w:pPr>
        <w:numPr>
          <w:ilvl w:val="0"/>
          <w:numId w:val="1001"/>
        </w:numPr>
        <w:pStyle w:val="Compact"/>
      </w:pPr>
      <w:r>
        <w:rPr>
          <w:bCs/>
          <w:b/>
        </w:rPr>
        <w:t xml:space="preserve">20% Final Payment (PEN 4,425.00):</w:t>
      </w:r>
      <w:r>
        <w:t xml:space="preserve"> </w:t>
      </w:r>
      <w:r>
        <w:t xml:space="preserve">Due upon final acceptance, delivery of the electrical conformity certificate, and handover of the as-built documentation.</w:t>
      </w:r>
    </w:p>
    <w:p>
      <w:pPr>
        <w:pStyle w:val="FirstParagraph"/>
      </w:pPr>
      <w:r>
        <w:t xml:space="preserve">All payments shall be made via bank transfer to ElectroLima Solutions S.A.C., Banco de Crédito del Perú, Cuenta Corriente No. 191-1234567-0-19. A formal invoice (Factura) will be issued for each payment in accordance with SUNAFIL and SUNAT regulations applicable in</w:t>
      </w:r>
      <w:r>
        <w:t xml:space="preserve"> </w:t>
      </w:r>
      <w:r>
        <w:rPr>
          <w:bCs/>
          <w:b/>
        </w:rPr>
        <w:t xml:space="preserve">Peru Lima</w:t>
      </w:r>
      <w:r>
        <w:t xml:space="preserve">.</w:t>
      </w:r>
    </w:p>
    <w:bookmarkEnd w:id="24"/>
    <w:bookmarkStart w:id="25" w:name="validity-and-acceptance"/>
    <w:p>
      <w:pPr>
        <w:pStyle w:val="Heading2"/>
      </w:pPr>
      <w:r>
        <w:t xml:space="preserve">5. Validity and Acceptance</w:t>
      </w:r>
    </w:p>
    <w:p>
      <w:pPr>
        <w:pStyle w:val="FirstParagraph"/>
      </w:pPr>
      <w:r>
        <w:t xml:space="preserve">This</w:t>
      </w:r>
      <w:r>
        <w:t xml:space="preserve"> </w:t>
      </w:r>
      <w:r>
        <w:rPr>
          <w:bCs/>
          <w:b/>
        </w:rPr>
        <w:t xml:space="preserve">Quotation Estimate</w:t>
      </w:r>
      <w:r>
        <w:t xml:space="preserve"> </w:t>
      </w:r>
      <w:r>
        <w:t xml:space="preserve">is valid for thirty (30) calendar days from the date of issue. Prices are quoted in Peruvian Soles (PEN) and include all applicable taxes. Should the client wish to proceed, a signed copy of this document must be returned to ElectroLima Solutions S.A.C. within the validity period. Any modifications to the scope of work after acceptance will be subject to a supplementary</w:t>
      </w:r>
      <w:r>
        <w:t xml:space="preserve"> </w:t>
      </w:r>
      <w:r>
        <w:rPr>
          <w:bCs/>
          <w:b/>
        </w:rPr>
        <w:t xml:space="preserve">Quotation Estimate</w:t>
      </w:r>
      <w:r>
        <w:t xml:space="preserve"> </w:t>
      </w:r>
      <w:r>
        <w:t xml:space="preserve">and mutual written agreement.</w:t>
      </w:r>
    </w:p>
    <w:p>
      <w:pPr>
        <w:pStyle w:val="BodyText"/>
      </w:pPr>
      <w:r>
        <w:rPr>
          <w:bCs/>
          <w:b/>
        </w:rPr>
        <w:t xml:space="preserve">Important Note:</w:t>
      </w:r>
      <w:r>
        <w:t xml:space="preserve"> </w:t>
      </w:r>
      <w:r>
        <w:t xml:space="preserve">This</w:t>
      </w:r>
      <w:r>
        <w:t xml:space="preserve"> </w:t>
      </w:r>
      <w:r>
        <w:rPr>
          <w:bCs/>
          <w:b/>
        </w:rPr>
        <w:t xml:space="preserve">Quotation Estimate</w:t>
      </w:r>
      <w:r>
        <w:t xml:space="preserve"> </w:t>
      </w:r>
      <w:r>
        <w:t xml:space="preserve">assumes standard residential electrical conditions in</w:t>
      </w:r>
      <w:r>
        <w:t xml:space="preserve"> </w:t>
      </w:r>
      <w:r>
        <w:rPr>
          <w:bCs/>
          <w:b/>
        </w:rPr>
        <w:t xml:space="preserve">Peru Lima</w:t>
      </w:r>
      <w:r>
        <w:t xml:space="preserve">. Should the</w:t>
      </w:r>
      <w:r>
        <w:t xml:space="preserve"> </w:t>
      </w:r>
      <w:r>
        <w:rPr>
          <w:bCs/>
          <w:b/>
        </w:rPr>
        <w:t xml:space="preserve">Electrician</w:t>
      </w:r>
      <w:r>
        <w:t xml:space="preserve"> </w:t>
      </w:r>
      <w:r>
        <w:t xml:space="preserve">team encounter unforeseen structural obstacles, hidden damage, or non-compliant existing installations during the course of work, a revised estimate will be presented to the client for approval before any additional work is performed. All materials are sourced from certified suppliers operating within the Lima metropolitan area.</w:t>
      </w:r>
    </w:p>
    <w:bookmarkEnd w:id="25"/>
    <w:bookmarkStart w:id="26" w:name="terms-and-conditions"/>
    <w:p>
      <w:pPr>
        <w:pStyle w:val="Heading2"/>
      </w:pPr>
      <w:r>
        <w:t xml:space="preserve">6. Terms and Conditions</w:t>
      </w:r>
    </w:p>
    <w:p>
      <w:pPr>
        <w:numPr>
          <w:ilvl w:val="0"/>
          <w:numId w:val="1002"/>
        </w:numPr>
        <w:pStyle w:val="Compact"/>
      </w:pPr>
      <w:r>
        <w:t xml:space="preserve">All</w:t>
      </w:r>
      <w:r>
        <w:t xml:space="preserve"> </w:t>
      </w:r>
      <w:r>
        <w:rPr>
          <w:bCs/>
          <w:b/>
        </w:rPr>
        <w:t xml:space="preserve">Electrician</w:t>
      </w:r>
      <w:r>
        <w:t xml:space="preserve"> </w:t>
      </w:r>
      <w:r>
        <w:t xml:space="preserve">work performed under this</w:t>
      </w:r>
      <w:r>
        <w:t xml:space="preserve"> </w:t>
      </w:r>
      <w:r>
        <w:rPr>
          <w:bCs/>
          <w:b/>
        </w:rPr>
        <w:t xml:space="preserve">Quotation Estimate</w:t>
      </w:r>
      <w:r>
        <w:t xml:space="preserve"> </w:t>
      </w:r>
      <w:r>
        <w:t xml:space="preserve">is guaranteed for a period of ninety (90) calendar days from the date of final acceptance. The warranty covers workmanship defects but does not extend to damage caused by misuse, natural disasters, or unauthorized modifications.</w:t>
      </w:r>
    </w:p>
    <w:p>
      <w:pPr>
        <w:numPr>
          <w:ilvl w:val="0"/>
          <w:numId w:val="1002"/>
        </w:numPr>
        <w:pStyle w:val="Compact"/>
      </w:pPr>
      <w:r>
        <w:t xml:space="preserve">ElectroLima Solutions S.A.C. holds a valid operating license (RUC) and all</w:t>
      </w:r>
      <w:r>
        <w:t xml:space="preserve"> </w:t>
      </w:r>
      <w:r>
        <w:rPr>
          <w:bCs/>
          <w:b/>
        </w:rPr>
        <w:t xml:space="preserve">Electrician</w:t>
      </w:r>
      <w:r>
        <w:t xml:space="preserve"> </w:t>
      </w:r>
      <w:r>
        <w:t xml:space="preserve">personnel assigned to this project in</w:t>
      </w:r>
      <w:r>
        <w:t xml:space="preserve"> </w:t>
      </w:r>
      <w:r>
        <w:rPr>
          <w:bCs/>
          <w:b/>
        </w:rPr>
        <w:t xml:space="preserve">Peru Lima</w:t>
      </w:r>
      <w:r>
        <w:t xml:space="preserve"> </w:t>
      </w:r>
      <w:r>
        <w:t xml:space="preserve">are certified by the relevant Peruvian regulatory bodies and carry professional liability insurance.</w:t>
      </w:r>
    </w:p>
    <w:p>
      <w:pPr>
        <w:numPr>
          <w:ilvl w:val="0"/>
          <w:numId w:val="1002"/>
        </w:numPr>
        <w:pStyle w:val="Compact"/>
      </w:pPr>
      <w:r>
        <w:t xml:space="preserve">The client is responsible for obtaining any additional municipal permits or neighbor notifications required by the local authority in Miraflores,</w:t>
      </w:r>
      <w:r>
        <w:t xml:space="preserve"> </w:t>
      </w:r>
      <w:r>
        <w:rPr>
          <w:bCs/>
          <w:b/>
        </w:rPr>
        <w:t xml:space="preserve">Peru Lima</w:t>
      </w:r>
      <w:r>
        <w:t xml:space="preserve">. ElectroLima Solutions S.A.C. will provide all technical documentation necessary to support such applications.</w:t>
      </w:r>
    </w:p>
    <w:p>
      <w:pPr>
        <w:numPr>
          <w:ilvl w:val="0"/>
          <w:numId w:val="1002"/>
        </w:numPr>
        <w:pStyle w:val="Compact"/>
      </w:pPr>
      <w:r>
        <w:t xml:space="preserve">In the event of force majeure (natural disasters, government-mandated shutdowns, or public health emergencies affecting</w:t>
      </w:r>
      <w:r>
        <w:t xml:space="preserve"> </w:t>
      </w:r>
      <w:r>
        <w:rPr>
          <w:bCs/>
          <w:b/>
        </w:rPr>
        <w:t xml:space="preserve">Peru Lima</w:t>
      </w:r>
      <w:r>
        <w:t xml:space="preserve">), the project timeline will be extended proportionally without penalty to either party.</w:t>
      </w:r>
    </w:p>
    <w:p>
      <w:pPr>
        <w:numPr>
          <w:ilvl w:val="0"/>
          <w:numId w:val="1002"/>
        </w:numPr>
        <w:pStyle w:val="Compact"/>
      </w:pPr>
      <w:r>
        <w:t xml:space="preserve">Disputes arising from this</w:t>
      </w:r>
      <w:r>
        <w:t xml:space="preserve"> </w:t>
      </w:r>
      <w:r>
        <w:rPr>
          <w:bCs/>
          <w:b/>
        </w:rPr>
        <w:t xml:space="preserve">Quotation Estimate</w:t>
      </w:r>
      <w:r>
        <w:t xml:space="preserve"> </w:t>
      </w:r>
      <w:r>
        <w:t xml:space="preserve">shall be resolved through mediation in the courts of Lima, Peru, in accordance with the Peruvian Civil Code.</w:t>
      </w:r>
    </w:p>
    <w:p>
      <w:pPr>
        <w:pStyle w:val="FirstParagraph"/>
      </w:pPr>
      <w:r>
        <w:rPr>
          <w:bCs/>
          <w:b/>
        </w:rPr>
        <w:t xml:space="preserve">ElectroLima Solutions S.A.C.</w:t>
      </w:r>
      <w:r>
        <w:br/>
      </w:r>
      <w:r>
        <w:t xml:space="preserve">Authorized Representative</w:t>
      </w:r>
      <w:r>
        <w:br/>
      </w:r>
      <w:r>
        <w:t xml:space="preserve">Ing. Ricardo Salazar Vega</w:t>
      </w:r>
      <w:r>
        <w:br/>
      </w:r>
      <w:r>
        <w:t xml:space="preserve">RUC: 20601234567</w:t>
      </w:r>
    </w:p>
    <w:p>
      <w:pPr>
        <w:pStyle w:val="BodyText"/>
      </w:pPr>
      <w:r>
        <w:rPr>
          <w:bCs/>
          <w:b/>
        </w:rPr>
        <w:t xml:space="preserve">Client Acceptance</w:t>
      </w:r>
      <w:r>
        <w:br/>
      </w:r>
      <w:r>
        <w:t xml:space="preserve">Ing. Carlos Mendoza Ríos</w:t>
      </w:r>
      <w:r>
        <w:br/>
      </w:r>
      <w:r>
        <w:t xml:space="preserve">DNI: 45678912</w:t>
      </w:r>
      <w:r>
        <w:br/>
      </w:r>
      <w:r>
        <w:t xml:space="preserve">Date: _______________</w:t>
      </w:r>
    </w:p>
    <w:p>
      <w:pPr>
        <w:pStyle w:val="BodyText"/>
      </w:pPr>
      <w:r>
        <w:t xml:space="preserve">ElectroLima Solutions S.A.C. — Professional</w:t>
      </w:r>
      <w:r>
        <w:t xml:space="preserve"> </w:t>
      </w:r>
      <w:r>
        <w:rPr>
          <w:bCs/>
          <w:b/>
        </w:rPr>
        <w:t xml:space="preserve">Electrician</w:t>
      </w:r>
      <w:r>
        <w:t xml:space="preserve"> </w:t>
      </w:r>
      <w:r>
        <w:t xml:space="preserve">Services in</w:t>
      </w:r>
      <w:r>
        <w:t xml:space="preserve"> </w:t>
      </w:r>
      <w:r>
        <w:rPr>
          <w:bCs/>
          <w:b/>
        </w:rPr>
        <w:t xml:space="preserve">Peru Lima</w:t>
      </w:r>
      <w:r>
        <w:t xml:space="preserve"> </w:t>
      </w:r>
      <w:r>
        <w:t xml:space="preserve">| Av. Javier Prado Este 1245, San Isidro, Lima, Peru</w:t>
      </w:r>
    </w:p>
    <w:p>
      <w:pPr>
        <w:pStyle w:val="BodyText"/>
      </w:pPr>
      <w:r>
        <w:t xml:space="preserve">This</w:t>
      </w:r>
      <w:r>
        <w:t xml:space="preserve"> </w:t>
      </w:r>
      <w:r>
        <w:rPr>
          <w:bCs/>
          <w:b/>
        </w:rPr>
        <w:t xml:space="preserve">Quotation Estimate</w:t>
      </w:r>
      <w:r>
        <w:t xml:space="preserve"> </w:t>
      </w:r>
      <w:r>
        <w:t xml:space="preserve">(Doc. No. QE-2025-LIM-0847) is a controlled document. Unauthorized reproduction or modification is prohibited.</w:t>
      </w:r>
    </w:p>
    <w:p>
      <w:pPr>
        <w:pStyle w:val="BodyText"/>
      </w:pPr>
      <w:r>
        <w:t xml:space="preserve">© 2025 ElectroLima Solutions S.A.C.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Electrician Services - Peru Lima</dc:title>
  <dc:creator/>
  <dc:language>en</dc:language>
  <cp:keywords/>
  <dcterms:created xsi:type="dcterms:W3CDTF">2026-10-10T02:16:49Z</dcterms:created>
  <dcterms:modified xsi:type="dcterms:W3CDTF">2026-10-10T02:16:49Z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