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Electrician Services — Uzbekistan Tashkent</w:t>
      </w:r>
    </w:p>
    <w:p>
      <w:pPr>
        <w:pStyle w:val="BodyText"/>
      </w:pPr>
      <w:r>
        <w:t xml:space="preserve">Valid for 30 Days</w:t>
      </w:r>
    </w:p>
    <w:bookmarkEnd w:id="20"/>
    <w:bookmarkStart w:id="21" w:name="quotation-estimate-details"/>
    <w:p>
      <w:pPr>
        <w:pStyle w:val="Heading3"/>
      </w:pPr>
      <w:r>
        <w:t xml:space="preserve">Quotation Estimate Details</w:t>
      </w:r>
    </w:p>
    <w:p>
      <w:pPr>
        <w:pStyle w:val="FirstParagraph"/>
      </w:pPr>
      <w:r>
        <w:rPr>
          <w:bCs/>
          <w:b/>
        </w:rPr>
        <w:t xml:space="preserve">Quotation No.:</w:t>
      </w:r>
      <w:r>
        <w:t xml:space="preserve"> </w:t>
      </w:r>
      <w:r>
        <w:t xml:space="preserve">QT-2025-TSK-0487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Uzbekistan Tashkent, Chilonzor District</w:t>
      </w:r>
    </w:p>
    <w:p>
      <w:pPr>
        <w:pStyle w:val="BodyText"/>
      </w:pPr>
      <w:r>
        <w:rPr>
          <w:bCs/>
          <w:b/>
        </w:rPr>
        <w:t xml:space="preserve">Project Type:</w:t>
      </w:r>
      <w:r>
        <w:t xml:space="preserve"> </w:t>
      </w:r>
      <w:r>
        <w:t xml:space="preserve">Residential Electrical Installation &amp; Renovation</w:t>
      </w:r>
    </w:p>
    <w:bookmarkEnd w:id="21"/>
    <w:bookmarkStart w:id="22" w:name="service-provider-electrician"/>
    <w:p>
      <w:pPr>
        <w:pStyle w:val="Heading3"/>
      </w:pPr>
      <w:r>
        <w:t xml:space="preserve">Service Provider (Electrician)</w:t>
      </w:r>
    </w:p>
    <w:p>
      <w:pPr>
        <w:pStyle w:val="FirstParagraph"/>
      </w:pPr>
      <w:r>
        <w:rPr>
          <w:bCs/>
          <w:b/>
        </w:rPr>
        <w:t xml:space="preserve">Company:</w:t>
      </w:r>
      <w:r>
        <w:t xml:space="preserve"> </w:t>
      </w:r>
      <w:r>
        <w:t xml:space="preserve">Tashkent Volt Electric Services LLC</w:t>
      </w:r>
    </w:p>
    <w:p>
      <w:pPr>
        <w:pStyle w:val="BodyText"/>
      </w:pPr>
      <w:r>
        <w:rPr>
          <w:bCs/>
          <w:b/>
        </w:rPr>
        <w:t xml:space="preserve">License No.:</w:t>
      </w:r>
      <w:r>
        <w:t xml:space="preserve"> </w:t>
      </w:r>
      <w:r>
        <w:t xml:space="preserve">UZ-EL-2019-4472</w:t>
      </w:r>
    </w:p>
    <w:p>
      <w:pPr>
        <w:pStyle w:val="BodyText"/>
      </w:pPr>
      <w:r>
        <w:rPr>
          <w:bCs/>
          <w:b/>
        </w:rPr>
        <w:t xml:space="preserve">Address:</w:t>
      </w:r>
      <w:r>
        <w:t xml:space="preserve"> </w:t>
      </w:r>
      <w:r>
        <w:t xml:space="preserve">42 Amir Temur Avenue, Tashkent, Uzbekistan</w:t>
      </w:r>
    </w:p>
    <w:p>
      <w:pPr>
        <w:pStyle w:val="BodyText"/>
      </w:pPr>
      <w:r>
        <w:rPr>
          <w:bCs/>
          <w:b/>
        </w:rPr>
        <w:t xml:space="preserve">Contact:</w:t>
      </w:r>
      <w:r>
        <w:t xml:space="preserve"> </w:t>
      </w:r>
      <w:r>
        <w:t xml:space="preserve">+998 71 200 45 67</w:t>
      </w:r>
    </w:p>
    <w:p>
      <w:pPr>
        <w:pStyle w:val="BodyText"/>
      </w:pPr>
      <w:r>
        <w:rPr>
          <w:bCs/>
          <w:b/>
        </w:rPr>
        <w:t xml:space="preserve">Email:</w:t>
      </w:r>
      <w:r>
        <w:t xml:space="preserve"> </w:t>
      </w:r>
      <w:r>
        <w:t xml:space="preserve">info@tashkentvolt.uz</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Rustam Karimov</w:t>
      </w:r>
    </w:p>
    <w:p>
      <w:pPr>
        <w:pStyle w:val="BodyText"/>
      </w:pPr>
      <w:r>
        <w:rPr>
          <w:bCs/>
          <w:b/>
        </w:rPr>
        <w:t xml:space="preserve">Property Address:</w:t>
      </w:r>
      <w:r>
        <w:t xml:space="preserve"> </w:t>
      </w:r>
      <w:r>
        <w:t xml:space="preserve">18 Bunyodkor Street, Apt. 24, Chilonzor District, Tashkent, Uzbekistan</w:t>
      </w:r>
    </w:p>
    <w:p>
      <w:pPr>
        <w:pStyle w:val="BodyText"/>
      </w:pPr>
      <w:r>
        <w:rPr>
          <w:bCs/>
          <w:b/>
        </w:rPr>
        <w:t xml:space="preserve">Contact Phone:</w:t>
      </w:r>
      <w:r>
        <w:t xml:space="preserve"> </w:t>
      </w:r>
      <w:r>
        <w:t xml:space="preserve">+998 90 555 12 34</w:t>
      </w:r>
    </w:p>
    <w:p>
      <w:pPr>
        <w:pStyle w:val="BodyText"/>
      </w:pPr>
      <w:r>
        <w:rPr>
          <w:bCs/>
          <w:b/>
        </w:rPr>
        <w:t xml:space="preserve">Property Type:</w:t>
      </w:r>
      <w:r>
        <w:t xml:space="preserve"> </w:t>
      </w:r>
      <w:r>
        <w:t xml:space="preserve">3-Room Apartment (85 m²)</w:t>
      </w:r>
    </w:p>
    <w:bookmarkEnd w:id="23"/>
    <w:bookmarkStart w:id="24" w:name="scope-of-work-summary"/>
    <w:p>
      <w:pPr>
        <w:pStyle w:val="Heading3"/>
      </w:pPr>
      <w:r>
        <w:t xml:space="preserve">Scope of Work Summary</w:t>
      </w:r>
    </w:p>
    <w:p>
      <w:pPr>
        <w:pStyle w:val="FirstParagraph"/>
      </w:pPr>
      <w:r>
        <w:t xml:space="preserve">Complete electrical system upgrade, rewiring, and installation of modern fixtures for a residential apartment in Uzbekistan Tashkent. This Quotation Estimate covers all labor, materials, and compliance inspections required by Uzbek national electrical standards (O’z DSt).</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t xml:space="preserve">Complete removal of existing wiring, distribution boards, and outdated fixtures throughout the apartment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Installation of new 3-core copper wiring (2.5 mm²) for lighting circuits and 4-core (4 mm²) for power outlets, conforming to Uzbekistan Tashkent municipal building codes</w:t>
            </w:r>
          </w:p>
        </w:tc>
        <w:tc>
          <w:tcPr/>
          <w:p>
            <w:pPr>
              <w:pStyle w:val="Compact"/>
              <w:jc w:val="left"/>
            </w:pPr>
            <w:r>
              <w:t xml:space="preserve">Running meter</w:t>
            </w:r>
          </w:p>
        </w:tc>
        <w:tc>
          <w:tcPr/>
          <w:p>
            <w:pPr>
              <w:pStyle w:val="Compact"/>
              <w:jc w:val="left"/>
            </w:pPr>
            <w:r>
              <w:t xml:space="preserve">320</w:t>
            </w:r>
          </w:p>
        </w:tc>
        <w:tc>
          <w:tcPr/>
          <w:p>
            <w:pPr>
              <w:pStyle w:val="Compact"/>
              <w:jc w:val="left"/>
            </w:pPr>
            <w:r>
              <w:t xml:space="preserve">45,000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Supply and installation of a new 12-way consumer unit (distribution board) with RCBO breakers, surge protection, and earthing bar</w:t>
            </w:r>
          </w:p>
        </w:tc>
        <w:tc>
          <w:tcPr/>
          <w:p>
            <w:pPr>
              <w:pStyle w:val="Compact"/>
              <w:jc w:val="left"/>
            </w:pPr>
            <w:r>
              <w:t xml:space="preserve">Unit</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Installation of 24 modern LED ceiling light fixtures and 36 wall-mounted light switches (Schneider Electric or equivalent)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5</w:t>
            </w:r>
          </w:p>
        </w:tc>
        <w:tc>
          <w:tcPr/>
          <w:p>
            <w:pPr>
              <w:pStyle w:val="Compact"/>
              <w:jc w:val="left"/>
            </w:pPr>
            <w:r>
              <w:t xml:space="preserve">Installation of 48 double power sockets (16A, 250V) with integrated USB charging ports in living room, kitchen, and bedrooms</w:t>
            </w:r>
          </w:p>
        </w:tc>
        <w:tc>
          <w:tcPr/>
          <w:p>
            <w:pPr>
              <w:pStyle w:val="Compact"/>
              <w:jc w:val="left"/>
            </w:pPr>
            <w:r>
              <w:t xml:space="preserve">Unit</w:t>
            </w:r>
          </w:p>
        </w:tc>
        <w:tc>
          <w:tcPr/>
          <w:p>
            <w:pPr>
              <w:pStyle w:val="Compact"/>
              <w:jc w:val="left"/>
            </w:pPr>
            <w:r>
              <w:t xml:space="preserve">48</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6</w:t>
            </w:r>
          </w:p>
        </w:tc>
        <w:tc>
          <w:tcPr/>
          <w:p>
            <w:pPr>
              <w:pStyle w:val="Compact"/>
              <w:jc w:val="left"/>
            </w:pPr>
            <w:r>
              <w:t xml:space="preserve">Dedicated circuit and 32A socket installation for electric kitchen appliances (oven, induction hob, dishwasher)</w:t>
            </w:r>
          </w:p>
        </w:tc>
        <w:tc>
          <w:tcPr/>
          <w:p>
            <w:pPr>
              <w:pStyle w:val="Compact"/>
              <w:jc w:val="left"/>
            </w:pPr>
            <w:r>
              <w:t xml:space="preserve">Lot</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7</w:t>
            </w:r>
          </w:p>
        </w:tc>
        <w:tc>
          <w:tcPr/>
          <w:p>
            <w:pPr>
              <w:pStyle w:val="Compact"/>
              <w:jc w:val="left"/>
            </w:pPr>
            <w:r>
              <w:t xml:space="preserve">Installation of 3 bathroom-specific IP44-rated sockets, extractor fan wiring, and GFCI-protected circuits</w:t>
            </w:r>
          </w:p>
        </w:tc>
        <w:tc>
          <w:tcPr/>
          <w:p>
            <w:pPr>
              <w:pStyle w:val="Compact"/>
              <w:jc w:val="left"/>
            </w:pPr>
            <w:r>
              <w:t xml:space="preserve">Lot</w:t>
            </w:r>
          </w:p>
        </w:tc>
        <w:tc>
          <w:tcPr/>
          <w:p>
            <w:pPr>
              <w:pStyle w:val="Compact"/>
              <w:jc w:val="left"/>
            </w:pPr>
            <w:r>
              <w:t xml:space="preserve">1</w:t>
            </w:r>
          </w:p>
        </w:tc>
        <w:tc>
          <w:tcPr/>
          <w:p>
            <w:pPr>
              <w:pStyle w:val="Compact"/>
              <w:jc w:val="left"/>
            </w:pPr>
            <w:r>
              <w:t xml:space="preserve">2,900,000</w:t>
            </w:r>
          </w:p>
        </w:tc>
        <w:tc>
          <w:tcPr/>
          <w:p>
            <w:pPr>
              <w:pStyle w:val="Compact"/>
              <w:jc w:val="left"/>
            </w:pPr>
            <w:r>
              <w:t xml:space="preserve">2,900,000</w:t>
            </w:r>
          </w:p>
        </w:tc>
      </w:tr>
      <w:tr>
        <w:tc>
          <w:tcPr/>
          <w:p>
            <w:pPr>
              <w:pStyle w:val="Compact"/>
              <w:jc w:val="left"/>
            </w:pPr>
            <w:r>
              <w:t xml:space="preserve">8</w:t>
            </w:r>
          </w:p>
        </w:tc>
        <w:tc>
          <w:tcPr/>
          <w:p>
            <w:pPr>
              <w:pStyle w:val="Compact"/>
              <w:jc w:val="left"/>
            </w:pPr>
            <w:r>
              <w:t xml:space="preserve">Earthing system upgrade and installation of a dedicated earth rod with 10 m² copper conductor to the building main earthing terminal</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9</w:t>
            </w:r>
          </w:p>
        </w:tc>
        <w:tc>
          <w:tcPr/>
          <w:p>
            <w:pPr>
              <w:pStyle w:val="Compact"/>
              <w:jc w:val="left"/>
            </w:pPr>
            <w:r>
              <w:t xml:space="preserve">Supply and installation of 2 external weatherproof (IP65) light fixtures for the apartment entrance and balcony</w:t>
            </w:r>
          </w:p>
        </w:tc>
        <w:tc>
          <w:tcPr/>
          <w:p>
            <w:pPr>
              <w:pStyle w:val="Compact"/>
              <w:jc w:val="left"/>
            </w:pPr>
            <w:r>
              <w:t xml:space="preserve">Unit</w:t>
            </w:r>
          </w:p>
        </w:tc>
        <w:tc>
          <w:tcPr/>
          <w:p>
            <w:pPr>
              <w:pStyle w:val="Compact"/>
              <w:jc w:val="left"/>
            </w:pPr>
            <w:r>
              <w:t xml:space="preserve">2</w:t>
            </w:r>
          </w:p>
        </w:tc>
        <w:tc>
          <w:tcPr/>
          <w:p>
            <w:pPr>
              <w:pStyle w:val="Compact"/>
              <w:jc w:val="left"/>
            </w:pPr>
            <w:r>
              <w:t xml:space="preserve">750,000</w:t>
            </w:r>
          </w:p>
        </w:tc>
        <w:tc>
          <w:tcPr/>
          <w:p>
            <w:pPr>
              <w:pStyle w:val="Compact"/>
              <w:jc w:val="left"/>
            </w:pPr>
            <w:r>
              <w:t xml:space="preserve">1,500,000</w:t>
            </w:r>
          </w:p>
        </w:tc>
      </w:tr>
      <w:tr>
        <w:tc>
          <w:tcPr/>
          <w:p>
            <w:pPr>
              <w:pStyle w:val="Compact"/>
              <w:jc w:val="left"/>
            </w:pPr>
            <w:r>
              <w:t xml:space="preserve">10</w:t>
            </w:r>
          </w:p>
        </w:tc>
        <w:tc>
          <w:tcPr/>
          <w:p>
            <w:pPr>
              <w:pStyle w:val="Compact"/>
              <w:jc w:val="left"/>
            </w:pPr>
            <w:r>
              <w:t xml:space="preserve">Final inspection, load testing, thermal imaging scan, and issuance of compliance certificate per Uzbekistan Tashkent electrical safety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(Labor &amp; Materials)</w:t>
            </w:r>
          </w:p>
        </w:tc>
        <w:tc>
          <w:tcPr/>
          <w:p>
            <w:pPr>
              <w:pStyle w:val="Compact"/>
              <w:jc w:val="right"/>
            </w:pPr>
            <w:r>
              <w:t xml:space="preserve">50,780,000 UZS</w:t>
            </w:r>
          </w:p>
        </w:tc>
      </w:tr>
      <w:tr>
        <w:tc>
          <w:tcPr/>
          <w:p>
            <w:pPr>
              <w:pStyle w:val="Compact"/>
              <w:jc w:val="left"/>
            </w:pPr>
            <w:r>
              <w:rPr>
                <w:bCs/>
                <w:b/>
              </w:rPr>
              <w:t xml:space="preserve">VAT (12% — Uzbekistan Standard Rate)</w:t>
            </w:r>
          </w:p>
        </w:tc>
        <w:tc>
          <w:tcPr/>
          <w:p>
            <w:pPr>
              <w:pStyle w:val="Compact"/>
              <w:jc w:val="right"/>
            </w:pPr>
            <w:r>
              <w:t xml:space="preserve">6,093,600 UZS</w:t>
            </w:r>
          </w:p>
        </w:tc>
      </w:tr>
      <w:tr>
        <w:tc>
          <w:tcPr/>
          <w:p>
            <w:pPr>
              <w:pStyle w:val="Compact"/>
              <w:jc w:val="left"/>
            </w:pPr>
            <w:r>
              <w:rPr>
                <w:bCs/>
                <w:b/>
              </w:rPr>
              <w:t xml:space="preserve">Site Access &amp; Disposal Fee</w:t>
            </w:r>
          </w:p>
        </w:tc>
        <w:tc>
          <w:tcPr/>
          <w:p>
            <w:pPr>
              <w:pStyle w:val="Compact"/>
              <w:jc w:val="right"/>
            </w:pPr>
            <w:r>
              <w:t xml:space="preserve">500,000 UZS</w:t>
            </w:r>
          </w:p>
        </w:tc>
      </w:tr>
      <w:tr>
        <w:tc>
          <w:tcPr/>
          <w:p>
            <w:pPr>
              <w:pStyle w:val="Compact"/>
              <w:jc w:val="left"/>
            </w:pPr>
            <w:r>
              <w:t xml:space="preserve">GRAND TOTAL</w:t>
            </w:r>
          </w:p>
        </w:tc>
        <w:tc>
          <w:tcPr/>
          <w:p>
            <w:pPr>
              <w:pStyle w:val="Compact"/>
              <w:jc w:val="right"/>
            </w:pPr>
            <w:r>
              <w:t xml:space="preserve">57,373,600 UZS</w:t>
            </w:r>
          </w:p>
        </w:tc>
      </w:tr>
      <w:tr>
        <w:tc>
          <w:tcPr/>
          <w:p>
            <w:pPr>
              <w:pStyle w:val="Compact"/>
              <w:jc w:val="left"/>
            </w:pPr>
            <w:r>
              <w:rPr>
                <w:iCs/>
                <w:i/>
              </w:rPr>
              <w:t xml:space="preserve">Approx. USD Equivalent (at 12,800 UZS/USD)</w:t>
            </w:r>
          </w:p>
        </w:tc>
        <w:tc>
          <w:tcPr/>
          <w:p>
            <w:pPr>
              <w:pStyle w:val="Compact"/>
              <w:jc w:val="right"/>
            </w:pPr>
            <w:r>
              <w:rPr>
                <w:iCs/>
                <w:i/>
              </w:rPr>
              <w:t xml:space="preserve">≈ 4,482 USD</w:t>
            </w:r>
          </w:p>
        </w:tc>
      </w:tr>
    </w:tbl>
    <w:bookmarkStart w:id="25"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issued by Tashkent Volt Electric Services LLC, a licensed Electrician contractor registered in the Republic of Uzbekistan, and is valid for thirty (30) calendar days from the date of issue. After this period, pricing may be adjusted to reflect current material costs in the Uzbekistan Tashkent market.</w:t>
      </w:r>
    </w:p>
    <w:p>
      <w:pPr>
        <w:numPr>
          <w:ilvl w:val="0"/>
          <w:numId w:val="1001"/>
        </w:numPr>
        <w:pStyle w:val="Compact"/>
      </w:pPr>
      <w:r>
        <w:t xml:space="preserve">All work described in this Quotation Estimate shall be performed by certified Electrician professionals holding valid licenses issued by the Uzbekistan Ministry of Energy. The lead Electrician assigned to this project holds a Category A electrical installation certification.</w:t>
      </w:r>
    </w:p>
    <w:p>
      <w:pPr>
        <w:numPr>
          <w:ilvl w:val="0"/>
          <w:numId w:val="1001"/>
        </w:numPr>
        <w:pStyle w:val="Compact"/>
      </w:pPr>
      <w:r>
        <w:t xml:space="preserve">Payment terms: 40% advance payment upon acceptance of this Quotation Estimate, 40% upon completion of wiring and fixture installation, and 20% upon final inspection and handover of the compliance certificate. All payments shall be made in Uzbek Som (UZS) via bank transfer to the company account in Tashkent.</w:t>
      </w:r>
    </w:p>
    <w:p>
      <w:pPr>
        <w:numPr>
          <w:ilvl w:val="0"/>
          <w:numId w:val="1001"/>
        </w:numPr>
        <w:pStyle w:val="Compact"/>
      </w:pPr>
      <w:r>
        <w:t xml:space="preserve">The estimated project duration is ten (10) working days, commencing on the date agreed upon by both parties. Delays caused by client-requested changes, material unavailability, or force majeure events in Uzbekistan Tashkent will be communicated in writing and may extend the timeline.</w:t>
      </w:r>
    </w:p>
    <w:p>
      <w:pPr>
        <w:numPr>
          <w:ilvl w:val="0"/>
          <w:numId w:val="1001"/>
        </w:numPr>
        <w:pStyle w:val="Compact"/>
      </w:pPr>
      <w:r>
        <w:t xml:space="preserve">All materials specified in this Quotation Estimate are new, factory-sealed, and carry a minimum manufacturer warranty of two (2) years. The Electrician labor workmanship is guaranteed for a period of twenty-four (24) months from the date of final acceptance.</w:t>
      </w:r>
    </w:p>
    <w:p>
      <w:pPr>
        <w:numPr>
          <w:ilvl w:val="0"/>
          <w:numId w:val="1001"/>
        </w:numPr>
        <w:pStyle w:val="Compact"/>
      </w:pPr>
      <w:r>
        <w:t xml:space="preserve">The client is responsible for obtaining any necessary building permits or HOA (Homeowners Association) approvals from the Chilonzor District administration in Tashkent prior to the commencement of work. The Electrician team will provide all technical documentation required for such applications.</w:t>
      </w:r>
    </w:p>
    <w:p>
      <w:pPr>
        <w:numPr>
          <w:ilvl w:val="0"/>
          <w:numId w:val="1001"/>
        </w:numPr>
        <w:pStyle w:val="Compact"/>
      </w:pPr>
      <w:r>
        <w:t xml:space="preserve">This Quotation Estimate does not include structural modifications to walls or floors beyond standard conduit routing. Any additional work requested during the project will be subject to a supplementary Quotation Estimate issued by the Electrician team.</w:t>
      </w:r>
    </w:p>
    <w:p>
      <w:pPr>
        <w:numPr>
          <w:ilvl w:val="0"/>
          <w:numId w:val="1001"/>
        </w:numPr>
        <w:pStyle w:val="Compact"/>
      </w:pPr>
      <w:r>
        <w:t xml:space="preserve">All waste materials generated during the electrical renovation will be collected and disposed of in accordance with Uzbekistan Tashkent municipal waste management regulations. The site will be cleaned daily by the Electrician crew.</w:t>
      </w:r>
    </w:p>
    <w:p>
      <w:pPr>
        <w:numPr>
          <w:ilvl w:val="0"/>
          <w:numId w:val="1001"/>
        </w:numPr>
        <w:pStyle w:val="Compact"/>
      </w:pPr>
      <w:r>
        <w:t xml:space="preserve">Disputes arising from this Quotation Estimate shall be resolved through negotiation, and if unresolved, through the competent courts of Tashkent City, Republic of Uzbekistan, in accordance with the Civil Code of Uzbekistan.</w:t>
      </w:r>
    </w:p>
    <w:bookmarkEnd w:id="25"/>
    <w:p>
      <w:pPr>
        <w:pStyle w:val="FirstParagraph"/>
      </w:pPr>
      <w:r>
        <w:rPr>
          <w:bCs/>
          <w:b/>
        </w:rPr>
        <w:t xml:space="preserve">Prepared by (Electrician / Contractor)</w:t>
      </w:r>
      <w:r>
        <w:br/>
      </w:r>
      <w:r>
        <w:t xml:space="preserve">Tashkent Volt Electric Services LLC</w:t>
      </w:r>
      <w:r>
        <w:br/>
      </w:r>
      <w:r>
        <w:t xml:space="preserve">Name: Aziz Rahimov, Chief Electrician</w:t>
      </w:r>
      <w:r>
        <w:br/>
      </w:r>
      <w:r>
        <w:t xml:space="preserve">Signature &amp; Company Seal</w:t>
      </w:r>
    </w:p>
    <w:p>
      <w:pPr>
        <w:pStyle w:val="BodyText"/>
      </w:pPr>
      <w:r>
        <w:rPr>
          <w:bCs/>
          <w:b/>
        </w:rPr>
        <w:t xml:space="preserve">Accepted by (Client)</w:t>
      </w:r>
      <w:r>
        <w:br/>
      </w:r>
      <w:r>
        <w:t xml:space="preserve">Rustam Karimov</w:t>
      </w:r>
      <w:r>
        <w:br/>
      </w:r>
      <w:r>
        <w:t xml:space="preserve">Signature &amp; Date</w:t>
      </w:r>
    </w:p>
    <w:p>
      <w:pPr>
        <w:pStyle w:val="BodyText"/>
      </w:pPr>
      <w:r>
        <w:t xml:space="preserve">This Quotation Estimate document was prepared for Electrician services in Uzbekistan Tashkent. © 2025 Tashkent Volt Electric Services LLC. All rights reserved.</w:t>
      </w:r>
      <w:r>
        <w:br/>
      </w:r>
      <w:r>
        <w:t xml:space="preserve">Document Reference: QT-2025-TSK-0487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Uzbekistan Tashkent</dc:title>
  <dc:creator/>
  <dc:language>en</dc:language>
  <cp:keywords/>
  <dcterms:created xsi:type="dcterms:W3CDTF">2026-10-10T02:43:38Z</dcterms:created>
  <dcterms:modified xsi:type="dcterms:W3CDTF">2026-10-10T02:43:38Z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