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quotation-estimate"/>
    <w:p>
      <w:pPr>
        <w:pStyle w:val="Heading1"/>
      </w:pPr>
      <w:r>
        <w:t xml:space="preserve">Quotation Estimate</w:t>
      </w:r>
    </w:p>
    <w:p>
      <w:pPr>
        <w:pStyle w:val="FirstParagraph"/>
      </w:pPr>
      <w:r>
        <w:t xml:space="preserve">Professional Electronics Engineer Services — Algeria Algiers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QE-ALG-2025-0487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r>
      <w:tr>
        <w:tc>
          <w:tcPr/>
          <w:p>
            <w:pPr>
              <w:pStyle w:val="Compact"/>
              <w:jc w:val="left"/>
            </w:pPr>
            <w:r>
              <w:t xml:space="preserve">Prepared By:</w:t>
            </w:r>
          </w:p>
        </w:tc>
        <w:tc>
          <w:tcPr/>
          <w:p>
            <w:pPr>
              <w:pStyle w:val="Compact"/>
              <w:jc w:val="left"/>
            </w:pPr>
            <w:r>
              <w:t xml:space="preserve">Ing. Karim Benali — Senior Electronics Engineer</w:t>
            </w:r>
          </w:p>
        </w:tc>
      </w:tr>
      <w:tr>
        <w:tc>
          <w:tcPr/>
          <w:p>
            <w:pPr>
              <w:pStyle w:val="Compact"/>
              <w:jc w:val="left"/>
            </w:pPr>
            <w:r>
              <w:t xml:space="preserve">Company:</w:t>
            </w:r>
          </w:p>
        </w:tc>
        <w:tc>
          <w:tcPr/>
          <w:p>
            <w:pPr>
              <w:pStyle w:val="Compact"/>
              <w:jc w:val="left"/>
            </w:pPr>
            <w:r>
              <w:t xml:space="preserve">Algeria Algiers Electronics &amp; Engineering Solutions SARL</w:t>
            </w:r>
          </w:p>
        </w:tc>
      </w:tr>
      <w:tr>
        <w:tc>
          <w:tcPr/>
          <w:p>
            <w:pPr>
              <w:pStyle w:val="Compact"/>
              <w:jc w:val="left"/>
            </w:pPr>
            <w:r>
              <w:t xml:space="preserve">Address:</w:t>
            </w:r>
          </w:p>
        </w:tc>
        <w:tc>
          <w:tcPr/>
          <w:p>
            <w:pPr>
              <w:pStyle w:val="Compact"/>
              <w:jc w:val="left"/>
            </w:pPr>
            <w:r>
              <w:t xml:space="preserve">14, Rue Didouche Mourad, Hydra, 16000 Algiers, Algeria</w:t>
            </w:r>
          </w:p>
        </w:tc>
      </w:tr>
      <w:tr>
        <w:tc>
          <w:tcPr/>
          <w:p>
            <w:pPr>
              <w:pStyle w:val="Compact"/>
              <w:jc w:val="left"/>
            </w:pPr>
            <w:r>
              <w:t xml:space="preserve">Client:</w:t>
            </w:r>
          </w:p>
        </w:tc>
        <w:tc>
          <w:tcPr/>
          <w:p>
            <w:pPr>
              <w:pStyle w:val="Compact"/>
              <w:jc w:val="left"/>
            </w:pPr>
            <w:r>
              <w:t xml:space="preserve">[Client Name / Organization]</w:t>
            </w:r>
          </w:p>
        </w:tc>
      </w:tr>
      <w:tr>
        <w:tc>
          <w:tcPr/>
          <w:p>
            <w:pPr>
              <w:pStyle w:val="Compact"/>
              <w:jc w:val="left"/>
            </w:pPr>
            <w:r>
              <w:t xml:space="preserve">Client Address:</w:t>
            </w:r>
          </w:p>
        </w:tc>
        <w:tc>
          <w:tcPr/>
          <w:p>
            <w:pPr>
              <w:pStyle w:val="Compact"/>
              <w:jc w:val="left"/>
            </w:pPr>
            <w:r>
              <w:t xml:space="preserve">[Client Address], Algiers, Algeria</w:t>
            </w:r>
          </w:p>
        </w:tc>
      </w:tr>
      <w:tr>
        <w:tc>
          <w:tcPr/>
          <w:p>
            <w:pPr>
              <w:pStyle w:val="Compact"/>
              <w:jc w:val="left"/>
            </w:pPr>
            <w:r>
              <w:t xml:space="preserve">Project Reference:</w:t>
            </w:r>
          </w:p>
        </w:tc>
        <w:tc>
          <w:tcPr/>
          <w:p>
            <w:pPr>
              <w:pStyle w:val="Compact"/>
              <w:jc w:val="left"/>
            </w:pPr>
            <w:r>
              <w:t xml:space="preserve">Industrial Control System Design &amp; Commissioning — Algiers Industrial Zone</w:t>
            </w:r>
          </w:p>
        </w:tc>
      </w:tr>
    </w:tbl>
    <w:p>
      <w:pPr>
        <w:pStyle w:val="BodyText"/>
      </w:pPr>
      <w:r>
        <w:t xml:space="preserve">1. Scope of Work — Electronics Engineer Services in Algeria Algiers</w:t>
      </w:r>
    </w:p>
    <w:p>
      <w:pPr>
        <w:pStyle w:val="BodyText"/>
      </w:pPr>
      <w:r>
        <w:t xml:space="preserve">This Quotation Estimate is issued by Algeria Algiers Electronics &amp; Engineering Solutions SARL to provide comprehensive professional services delivered by a qualified Electronics Engineer for the design, development, testing, and commissioning of an industrial electronic control system located in the Algiers Industrial Zone, Algeria. The Electronics Engineer assigned to this project holds a Master's degree in Electronic Engineering from the University of Science and Technology Houari Boumediene (USTHB), Algiers, and possesses over twelve (12) years of hands-on experience in industrial automation, embedded systems, power electronics, and signal processing within the Algerian market.</w:t>
      </w:r>
    </w:p>
    <w:p>
      <w:pPr>
        <w:pStyle w:val="BodyText"/>
      </w:pPr>
      <w:r>
        <w:t xml:space="preserve">The scope of work encompasses the full lifecycle of the electronic system, from initial requirements analysis and schematic design through to on-site installation, calibration, and final acceptance testing. All deliverables shall comply with Algerian national standards (ANRT regulations) and applicable international standards including IEC 61508, IEC 61010, and CE marking requirements where applicable.</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Electronics Engineer Service</w:t>
            </w:r>
          </w:p>
        </w:tc>
        <w:tc>
          <w:tcPr/>
          <w:p>
            <w:pPr>
              <w:pStyle w:val="Compact"/>
              <w:jc w:val="left"/>
            </w:pPr>
            <w:r>
              <w:t xml:space="preserve">Duration</w:t>
            </w:r>
          </w:p>
        </w:tc>
        <w:tc>
          <w:tcPr/>
          <w:p>
            <w:pPr>
              <w:pStyle w:val="Compact"/>
              <w:jc w:val="left"/>
            </w:pPr>
            <w:r>
              <w:t xml:space="preserve">Rate (DZD)</w:t>
            </w:r>
          </w:p>
        </w:tc>
        <w:tc>
          <w:tcPr/>
          <w:p>
            <w:pPr>
              <w:pStyle w:val="Compact"/>
              <w:jc w:val="left"/>
            </w:pPr>
            <w:r>
              <w:t xml:space="preserve">Amount (DZD)</w:t>
            </w:r>
          </w:p>
        </w:tc>
        <w:tc>
          <w:tcPr/>
          <w:p>
            <w:pPr>
              <w:pStyle w:val="Compact"/>
              <w:jc w:val="left"/>
            </w:pPr>
            <w:r>
              <w:t xml:space="preserve">Notes</w:t>
            </w:r>
          </w:p>
        </w:tc>
      </w:tr>
      <w:tr>
        <w:tc>
          <w:tcPr/>
          <w:p>
            <w:pPr>
              <w:pStyle w:val="Compact"/>
              <w:jc w:val="left"/>
            </w:pPr>
            <w:r>
              <w:t xml:space="preserve">01</w:t>
            </w:r>
          </w:p>
        </w:tc>
        <w:tc>
          <w:tcPr/>
          <w:p>
            <w:pPr>
              <w:pStyle w:val="Compact"/>
              <w:jc w:val="left"/>
            </w:pPr>
            <w:r>
              <w:t xml:space="preserve">Requirements gathering, site survey, and feasibility study for the electronic control system in the Algiers Industrial Zone facility</w:t>
            </w:r>
          </w:p>
        </w:tc>
        <w:tc>
          <w:tcPr/>
          <w:p>
            <w:pPr>
              <w:pStyle w:val="Compact"/>
              <w:jc w:val="left"/>
            </w:pPr>
            <w:r>
              <w:t xml:space="preserve">5 working days</w:t>
            </w:r>
          </w:p>
        </w:tc>
        <w:tc>
          <w:tcPr/>
          <w:p>
            <w:pPr>
              <w:pStyle w:val="Compact"/>
              <w:jc w:val="left"/>
            </w:pPr>
            <w:r>
              <w:t xml:space="preserve">18,000 / day</w:t>
            </w:r>
          </w:p>
        </w:tc>
        <w:tc>
          <w:tcPr/>
          <w:p>
            <w:pPr>
              <w:pStyle w:val="Compact"/>
              <w:jc w:val="left"/>
            </w:pPr>
            <w:r>
              <w:t xml:space="preserve">90,000</w:t>
            </w:r>
          </w:p>
        </w:tc>
        <w:tc>
          <w:tcPr/>
          <w:p>
            <w:pPr>
              <w:pStyle w:val="Compact"/>
              <w:jc w:val="left"/>
            </w:pPr>
            <w:r>
              <w:t xml:space="preserve">Includes travel within Algiers wilaya</w:t>
            </w:r>
          </w:p>
        </w:tc>
      </w:tr>
      <w:tr>
        <w:tc>
          <w:tcPr/>
          <w:p>
            <w:pPr>
              <w:pStyle w:val="Compact"/>
              <w:jc w:val="left"/>
            </w:pPr>
            <w:r>
              <w:t xml:space="preserve">02</w:t>
            </w:r>
          </w:p>
        </w:tc>
        <w:tc>
          <w:tcPr/>
          <w:p>
            <w:pPr>
              <w:pStyle w:val="Compact"/>
              <w:jc w:val="left"/>
            </w:pPr>
            <w:r>
              <w:t xml:space="preserve">System architecture design, schematic capture, and PCB layout for the main control board (4-layer, 120mm x 100mm)</w:t>
            </w:r>
          </w:p>
        </w:tc>
        <w:tc>
          <w:tcPr/>
          <w:p>
            <w:pPr>
              <w:pStyle w:val="Compact"/>
              <w:jc w:val="left"/>
            </w:pPr>
            <w:r>
              <w:t xml:space="preserve">15 working days</w:t>
            </w:r>
          </w:p>
        </w:tc>
        <w:tc>
          <w:tcPr/>
          <w:p>
            <w:pPr>
              <w:pStyle w:val="Compact"/>
              <w:jc w:val="left"/>
            </w:pPr>
            <w:r>
              <w:t xml:space="preserve">22,000 / day</w:t>
            </w:r>
          </w:p>
        </w:tc>
        <w:tc>
          <w:tcPr/>
          <w:p>
            <w:pPr>
              <w:pStyle w:val="Compact"/>
              <w:jc w:val="left"/>
            </w:pPr>
            <w:r>
              <w:t xml:space="preserve">330,000</w:t>
            </w:r>
          </w:p>
        </w:tc>
        <w:tc>
          <w:tcPr/>
          <w:p>
            <w:pPr>
              <w:pStyle w:val="Compact"/>
              <w:jc w:val="left"/>
            </w:pPr>
            <w:r>
              <w:t xml:space="preserve">Deliverables: Gerber files, BOM, design report</w:t>
            </w:r>
          </w:p>
        </w:tc>
      </w:tr>
      <w:tr>
        <w:tc>
          <w:tcPr/>
          <w:p>
            <w:pPr>
              <w:pStyle w:val="Compact"/>
              <w:jc w:val="left"/>
            </w:pPr>
            <w:r>
              <w:t xml:space="preserve">03</w:t>
            </w:r>
          </w:p>
        </w:tc>
        <w:tc>
          <w:tcPr/>
          <w:p>
            <w:pPr>
              <w:pStyle w:val="Compact"/>
              <w:jc w:val="left"/>
            </w:pPr>
            <w:r>
              <w:t xml:space="preserve">Embedded firmware development (ARM Cortex-M4 based) including real-time control algorithms, communication protocols (Modbus RTU, CAN 2.0B), and diagnostic routines</w:t>
            </w:r>
          </w:p>
        </w:tc>
        <w:tc>
          <w:tcPr/>
          <w:p>
            <w:pPr>
              <w:pStyle w:val="Compact"/>
              <w:jc w:val="left"/>
            </w:pPr>
            <w:r>
              <w:t xml:space="preserve">20 working days</w:t>
            </w:r>
          </w:p>
        </w:tc>
        <w:tc>
          <w:tcPr/>
          <w:p>
            <w:pPr>
              <w:pStyle w:val="Compact"/>
              <w:jc w:val="left"/>
            </w:pPr>
            <w:r>
              <w:t xml:space="preserve">25,000 / day</w:t>
            </w:r>
          </w:p>
        </w:tc>
        <w:tc>
          <w:tcPr/>
          <w:p>
            <w:pPr>
              <w:pStyle w:val="Compact"/>
              <w:jc w:val="left"/>
            </w:pPr>
            <w:r>
              <w:t xml:space="preserve">500,000</w:t>
            </w:r>
          </w:p>
        </w:tc>
        <w:tc>
          <w:tcPr/>
          <w:p>
            <w:pPr>
              <w:pStyle w:val="Compact"/>
              <w:jc w:val="left"/>
            </w:pPr>
            <w:r>
              <w:t xml:space="preserve">Source code delivered with documentation</w:t>
            </w:r>
          </w:p>
        </w:tc>
      </w:tr>
      <w:tr>
        <w:tc>
          <w:tcPr/>
          <w:p>
            <w:pPr>
              <w:pStyle w:val="Compact"/>
              <w:jc w:val="left"/>
            </w:pPr>
            <w:r>
              <w:t xml:space="preserve">04</w:t>
            </w:r>
          </w:p>
        </w:tc>
        <w:tc>
          <w:tcPr/>
          <w:p>
            <w:pPr>
              <w:pStyle w:val="Compact"/>
              <w:jc w:val="left"/>
            </w:pPr>
            <w:r>
              <w:t xml:space="preserve">Power supply unit design (3-phase 400V AC to 24V DC, 15A) with IEC 61010-1 compliance and thermal management</w:t>
            </w:r>
          </w:p>
        </w:tc>
        <w:tc>
          <w:tcPr/>
          <w:p>
            <w:pPr>
              <w:pStyle w:val="Compact"/>
              <w:jc w:val="left"/>
            </w:pPr>
            <w:r>
              <w:t xml:space="preserve">10 working days</w:t>
            </w:r>
          </w:p>
        </w:tc>
        <w:tc>
          <w:tcPr/>
          <w:p>
            <w:pPr>
              <w:pStyle w:val="Compact"/>
              <w:jc w:val="left"/>
            </w:pPr>
            <w:r>
              <w:t xml:space="preserve">22,000 / day</w:t>
            </w:r>
          </w:p>
        </w:tc>
        <w:tc>
          <w:tcPr/>
          <w:p>
            <w:pPr>
              <w:pStyle w:val="Compact"/>
              <w:jc w:val="left"/>
            </w:pPr>
            <w:r>
              <w:t xml:space="preserve">220,000</w:t>
            </w:r>
          </w:p>
        </w:tc>
        <w:tc>
          <w:tcPr/>
          <w:p>
            <w:pPr>
              <w:pStyle w:val="Compact"/>
              <w:jc w:val="left"/>
            </w:pPr>
            <w:r>
              <w:t xml:space="preserve">Includes safety analysis report</w:t>
            </w:r>
          </w:p>
        </w:tc>
      </w:tr>
      <w:tr>
        <w:tc>
          <w:tcPr/>
          <w:p>
            <w:pPr>
              <w:pStyle w:val="Compact"/>
              <w:jc w:val="left"/>
            </w:pPr>
            <w:r>
              <w:t xml:space="preserve">05</w:t>
            </w:r>
          </w:p>
        </w:tc>
        <w:tc>
          <w:tcPr/>
          <w:p>
            <w:pPr>
              <w:pStyle w:val="Compact"/>
              <w:jc w:val="left"/>
            </w:pPr>
            <w:r>
              <w:t xml:space="preserve">Prototype fabrication, bench testing, and iterative debugging of the complete electronic assembly</w:t>
            </w:r>
          </w:p>
        </w:tc>
        <w:tc>
          <w:tcPr/>
          <w:p>
            <w:pPr>
              <w:pStyle w:val="Compact"/>
              <w:jc w:val="left"/>
            </w:pPr>
            <w:r>
              <w:t xml:space="preserve">12 working days</w:t>
            </w:r>
          </w:p>
        </w:tc>
        <w:tc>
          <w:tcPr/>
          <w:p>
            <w:pPr>
              <w:pStyle w:val="Compact"/>
              <w:jc w:val="left"/>
            </w:pPr>
            <w:r>
              <w:t xml:space="preserve">20,000 / day</w:t>
            </w:r>
          </w:p>
        </w:tc>
        <w:tc>
          <w:tcPr/>
          <w:p>
            <w:pPr>
              <w:pStyle w:val="Compact"/>
              <w:jc w:val="left"/>
            </w:pPr>
            <w:r>
              <w:t xml:space="preserve">240,000</w:t>
            </w:r>
          </w:p>
        </w:tc>
        <w:tc>
          <w:tcPr/>
          <w:p>
            <w:pPr>
              <w:pStyle w:val="Compact"/>
              <w:jc w:val="left"/>
            </w:pPr>
            <w:r>
              <w:t xml:space="preserve">Two prototype iterations included</w:t>
            </w:r>
          </w:p>
        </w:tc>
      </w:tr>
      <w:tr>
        <w:tc>
          <w:tcPr/>
          <w:p>
            <w:pPr>
              <w:pStyle w:val="Compact"/>
              <w:jc w:val="left"/>
            </w:pPr>
            <w:r>
              <w:t xml:space="preserve">06</w:t>
            </w:r>
          </w:p>
        </w:tc>
        <w:tc>
          <w:tcPr/>
          <w:p>
            <w:pPr>
              <w:pStyle w:val="Compact"/>
              <w:jc w:val="left"/>
            </w:pPr>
            <w:r>
              <w:t xml:space="preserve">On-site installation, wiring, integration with existing PLC network, and commissioning at the client's facility in Algiers</w:t>
            </w:r>
          </w:p>
        </w:tc>
        <w:tc>
          <w:tcPr/>
          <w:p>
            <w:pPr>
              <w:pStyle w:val="Compact"/>
              <w:jc w:val="left"/>
            </w:pPr>
            <w:r>
              <w:t xml:space="preserve">8 working days</w:t>
            </w:r>
          </w:p>
        </w:tc>
        <w:tc>
          <w:tcPr/>
          <w:p>
            <w:pPr>
              <w:pStyle w:val="Compact"/>
              <w:jc w:val="left"/>
            </w:pPr>
            <w:r>
              <w:t xml:space="preserve">24,000 / day</w:t>
            </w:r>
          </w:p>
        </w:tc>
        <w:tc>
          <w:tcPr/>
          <w:p>
            <w:pPr>
              <w:pStyle w:val="Compact"/>
              <w:jc w:val="left"/>
            </w:pPr>
            <w:r>
              <w:t xml:space="preserve">192,000</w:t>
            </w:r>
          </w:p>
        </w:tc>
        <w:tc>
          <w:tcPr/>
          <w:p>
            <w:pPr>
              <w:pStyle w:val="Compact"/>
              <w:jc w:val="left"/>
            </w:pPr>
            <w:r>
              <w:t xml:space="preserve">Includes safety lockout/tagout procedures</w:t>
            </w:r>
          </w:p>
        </w:tc>
      </w:tr>
      <w:tr>
        <w:tc>
          <w:tcPr/>
          <w:p>
            <w:pPr>
              <w:pStyle w:val="Compact"/>
              <w:jc w:val="left"/>
            </w:pPr>
            <w:r>
              <w:t xml:space="preserve">07</w:t>
            </w:r>
          </w:p>
        </w:tc>
        <w:tc>
          <w:tcPr/>
          <w:p>
            <w:pPr>
              <w:pStyle w:val="Compact"/>
              <w:jc w:val="left"/>
            </w:pPr>
            <w:r>
              <w:t xml:space="preserve">Performance validation, EMC pre-compliance testing, and final acceptance testing with client representatives</w:t>
            </w:r>
          </w:p>
        </w:tc>
        <w:tc>
          <w:tcPr/>
          <w:p>
            <w:pPr>
              <w:pStyle w:val="Compact"/>
              <w:jc w:val="left"/>
            </w:pPr>
            <w:r>
              <w:t xml:space="preserve">5 working days</w:t>
            </w:r>
          </w:p>
        </w:tc>
        <w:tc>
          <w:tcPr/>
          <w:p>
            <w:pPr>
              <w:pStyle w:val="Compact"/>
              <w:jc w:val="left"/>
            </w:pPr>
            <w:r>
              <w:t xml:space="preserve">22,000 / day</w:t>
            </w:r>
          </w:p>
        </w:tc>
        <w:tc>
          <w:tcPr/>
          <w:p>
            <w:pPr>
              <w:pStyle w:val="Compact"/>
              <w:jc w:val="left"/>
            </w:pPr>
            <w:r>
              <w:t xml:space="preserve">110,000</w:t>
            </w:r>
          </w:p>
        </w:tc>
        <w:tc>
          <w:tcPr/>
          <w:p>
            <w:pPr>
              <w:pStyle w:val="Compact"/>
              <w:jc w:val="left"/>
            </w:pPr>
            <w:r>
              <w:t xml:space="preserve">Test report issued in French and English</w:t>
            </w:r>
          </w:p>
        </w:tc>
      </w:tr>
      <w:tr>
        <w:tc>
          <w:tcPr/>
          <w:p>
            <w:pPr>
              <w:pStyle w:val="Compact"/>
              <w:jc w:val="left"/>
            </w:pPr>
            <w:r>
              <w:t xml:space="preserve">08</w:t>
            </w:r>
          </w:p>
        </w:tc>
        <w:tc>
          <w:tcPr/>
          <w:p>
            <w:pPr>
              <w:pStyle w:val="Compact"/>
              <w:jc w:val="left"/>
            </w:pPr>
            <w:r>
              <w:t xml:space="preserve">Technical documentation package: user manual, maintenance guide, wiring diagrams, and as-built drawings</w:t>
            </w:r>
          </w:p>
        </w:tc>
        <w:tc>
          <w:tcPr/>
          <w:p>
            <w:pPr>
              <w:pStyle w:val="Compact"/>
              <w:jc w:val="left"/>
            </w:pPr>
            <w:r>
              <w:t xml:space="preserve">5 working days</w:t>
            </w:r>
          </w:p>
        </w:tc>
        <w:tc>
          <w:tcPr/>
          <w:p>
            <w:pPr>
              <w:pStyle w:val="Compact"/>
              <w:jc w:val="left"/>
            </w:pPr>
            <w:r>
              <w:t xml:space="preserve">15,000 / day</w:t>
            </w:r>
          </w:p>
        </w:tc>
        <w:tc>
          <w:tcPr/>
          <w:p>
            <w:pPr>
              <w:pStyle w:val="Compact"/>
              <w:jc w:val="left"/>
            </w:pPr>
            <w:r>
              <w:t xml:space="preserve">75,000</w:t>
            </w:r>
          </w:p>
        </w:tc>
        <w:tc>
          <w:tcPr/>
          <w:p>
            <w:pPr>
              <w:pStyle w:val="Compact"/>
              <w:jc w:val="left"/>
            </w:pPr>
            <w:r>
              <w:t xml:space="preserve">Delivered in PDF and editable formats</w:t>
            </w:r>
          </w:p>
        </w:tc>
      </w:tr>
      <w:tr>
        <w:tc>
          <w:tcPr/>
          <w:p>
            <w:pPr>
              <w:pStyle w:val="Compact"/>
              <w:jc w:val="left"/>
            </w:pPr>
            <w:r>
              <w:t xml:space="preserve">09</w:t>
            </w:r>
          </w:p>
        </w:tc>
        <w:tc>
          <w:tcPr/>
          <w:p>
            <w:pPr>
              <w:pStyle w:val="Compact"/>
              <w:jc w:val="left"/>
            </w:pPr>
            <w:r>
              <w:t xml:space="preserve">Post-commissioning support and warranty period (on-call Electronics Engineer availability for defect resolution)</w:t>
            </w:r>
          </w:p>
        </w:tc>
        <w:tc>
          <w:tcPr/>
          <w:p>
            <w:pPr>
              <w:pStyle w:val="Compact"/>
              <w:jc w:val="left"/>
            </w:pPr>
            <w:r>
              <w:t xml:space="preserve">90 days</w:t>
            </w:r>
          </w:p>
        </w:tc>
        <w:tc>
          <w:tcPr/>
          <w:p>
            <w:pPr>
              <w:pStyle w:val="Compact"/>
              <w:jc w:val="left"/>
            </w:pPr>
            <w:r>
              <w:t xml:space="preserve">Flat fee</w:t>
            </w:r>
          </w:p>
        </w:tc>
        <w:tc>
          <w:tcPr/>
          <w:p>
            <w:pPr>
              <w:pStyle w:val="Compact"/>
              <w:jc w:val="left"/>
            </w:pPr>
            <w:r>
              <w:t xml:space="preserve">150,000</w:t>
            </w:r>
          </w:p>
        </w:tc>
        <w:tc>
          <w:tcPr/>
          <w:p>
            <w:pPr>
              <w:pStyle w:val="Compact"/>
              <w:jc w:val="left"/>
            </w:pPr>
            <w:r>
              <w:t xml:space="preserve">Response time: 24 hours within Algiers</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01–09)</w:t>
            </w:r>
          </w:p>
        </w:tc>
        <w:tc>
          <w:tcPr/>
          <w:p>
            <w:pPr>
              <w:pStyle w:val="Compact"/>
              <w:jc w:val="right"/>
            </w:pPr>
            <w:r>
              <w:t xml:space="preserve">1,907,000 DZD</w:t>
            </w:r>
          </w:p>
        </w:tc>
      </w:tr>
      <w:tr>
        <w:tc>
          <w:tcPr/>
          <w:p>
            <w:pPr>
              <w:pStyle w:val="Compact"/>
              <w:jc w:val="left"/>
            </w:pPr>
            <w:r>
              <w:t xml:space="preserve">VAT (19% — Algerian fiscal code)</w:t>
            </w:r>
          </w:p>
        </w:tc>
        <w:tc>
          <w:tcPr/>
          <w:p>
            <w:pPr>
              <w:pStyle w:val="Compact"/>
              <w:jc w:val="right"/>
            </w:pPr>
            <w:r>
              <w:t xml:space="preserve">362,330 DZD</w:t>
            </w:r>
          </w:p>
        </w:tc>
      </w:tr>
      <w:tr>
        <w:tc>
          <w:tcPr/>
          <w:p>
            <w:pPr>
              <w:pStyle w:val="Compact"/>
              <w:jc w:val="left"/>
            </w:pPr>
            <w:r>
              <w:t xml:space="preserve">Travel &amp; Accommodation (if applicable beyond Algiers city limits)</w:t>
            </w:r>
          </w:p>
        </w:tc>
        <w:tc>
          <w:tcPr/>
          <w:p>
            <w:pPr>
              <w:pStyle w:val="Compact"/>
              <w:jc w:val="right"/>
            </w:pPr>
            <w:r>
              <w:t xml:space="preserve">0 DZD</w:t>
            </w:r>
          </w:p>
        </w:tc>
      </w:tr>
      <w:tr>
        <w:tc>
          <w:tcPr/>
          <w:p>
            <w:pPr>
              <w:pStyle w:val="Compact"/>
              <w:jc w:val="left"/>
            </w:pPr>
            <w:r>
              <w:t xml:space="preserve">TOTAL ESTIMATED COST</w:t>
            </w:r>
          </w:p>
        </w:tc>
        <w:tc>
          <w:tcPr/>
          <w:p>
            <w:pPr>
              <w:pStyle w:val="Compact"/>
              <w:jc w:val="right"/>
            </w:pPr>
            <w:r>
              <w:t xml:space="preserve">2,269,330 DZD</w:t>
            </w:r>
          </w:p>
        </w:tc>
      </w:tr>
    </w:tbl>
    <w:p>
      <w:pPr>
        <w:pStyle w:val="BodyText"/>
      </w:pPr>
      <w:r>
        <w:t xml:space="preserve">3. Terms and Conditions of This Quotation Estimate</w:t>
      </w:r>
    </w:p>
    <w:p>
      <w:pPr>
        <w:pStyle w:val="BodyText"/>
      </w:pPr>
      <w:r>
        <w:rPr>
          <w:bCs/>
          <w:b/>
        </w:rPr>
        <w:t xml:space="preserve">3.1 Validity:</w:t>
      </w:r>
      <w:r>
        <w:t xml:space="preserve"> </w:t>
      </w:r>
      <w:r>
        <w:t xml:space="preserve">This Quotation Estimate remains valid for thirty (30) calendar days from the date of issue. Beyond this period, pricing may be revised to reflect changes in component costs, exchange rates, or the Electronics Engineer's availability.</w:t>
      </w:r>
    </w:p>
    <w:p>
      <w:pPr>
        <w:pStyle w:val="BodyText"/>
      </w:pPr>
      <w:r>
        <w:rPr>
          <w:bCs/>
          <w:b/>
        </w:rPr>
        <w:t xml:space="preserve">3.2 Payment Terms:</w:t>
      </w:r>
      <w:r>
        <w:t xml:space="preserve"> </w:t>
      </w:r>
      <w:r>
        <w:t xml:space="preserve">Payment shall be structured as follows: 30% advance upon acceptance of this Quotation Estimate, 40% upon delivery of the prototype and successful bench testing, and 30% upon final acceptance and handover of all documentation. All payments shall be made in Algerian Dinars (DZD) via bank transfer to the account of Algeria Algiers Electronics &amp; Engineering Solutions SARL, RIB: 007 600 1234 5678 9012 3456 789.</w:t>
      </w:r>
    </w:p>
    <w:p>
      <w:pPr>
        <w:pStyle w:val="BodyText"/>
      </w:pPr>
      <w:r>
        <w:rPr>
          <w:bCs/>
          <w:b/>
        </w:rPr>
        <w:t xml:space="preserve">3.3 Intellectual Property:</w:t>
      </w:r>
      <w:r>
        <w:t xml:space="preserve"> </w:t>
      </w:r>
      <w:r>
        <w:t xml:space="preserve">All designs, firmware source code, and documentation produced under this engagement shall become the exclusive property of the client upon full payment. The Electronics Engineer and the company retain the right to reference the project in professional portfolios with client consent.</w:t>
      </w:r>
    </w:p>
    <w:p>
      <w:pPr>
        <w:pStyle w:val="BodyText"/>
      </w:pPr>
      <w:r>
        <w:rPr>
          <w:bCs/>
          <w:b/>
        </w:rPr>
        <w:t xml:space="preserve">3.4 Warranty:</w:t>
      </w:r>
      <w:r>
        <w:t xml:space="preserve"> </w:t>
      </w:r>
      <w:r>
        <w:t xml:space="preserve">The Electronics Engineer guarantees a defect-free performance period of ninety (90) days from the date of final acceptance. Any hardware or firmware defects identified within this period shall be corrected at no additional cost. This warranty does not cover damage caused by misuse, unauthorized modification, or environmental conditions outside the specified operating range.</w:t>
      </w:r>
    </w:p>
    <w:p>
      <w:pPr>
        <w:pStyle w:val="BodyText"/>
      </w:pPr>
      <w:r>
        <w:rPr>
          <w:bCs/>
          <w:b/>
        </w:rPr>
        <w:t xml:space="preserve">3.5 Regulatory Compliance:</w:t>
      </w:r>
      <w:r>
        <w:t xml:space="preserve"> </w:t>
      </w:r>
      <w:r>
        <w:t xml:space="preserve">All work performed by the Electronics Engineer shall adhere to the Algerian Code of Commerce, the ANRT telecommunications regulations, and applicable IEC safety standards. The client is responsible for obtaining any necessary permits or authorizations from local authorities in Algiers prior to on-site installation.</w:t>
      </w:r>
    </w:p>
    <w:p>
      <w:pPr>
        <w:pStyle w:val="BodyText"/>
      </w:pPr>
      <w:r>
        <w:rPr>
          <w:bCs/>
          <w:b/>
        </w:rPr>
        <w:t xml:space="preserve">3.6 Force Majeure:</w:t>
      </w:r>
      <w:r>
        <w:t xml:space="preserve"> </w:t>
      </w:r>
      <w:r>
        <w:t xml:space="preserve">Neither party shall be liable for delays caused by events beyond reasonable control, including but not limited to natural disasters, government-mandated shutdowns, or supply chain disruptions affecting electronic component availability in Algeria.</w:t>
      </w:r>
    </w:p>
    <w:p>
      <w:pPr>
        <w:pStyle w:val="BodyText"/>
      </w:pPr>
      <w:r>
        <w:rPr>
          <w:bCs/>
          <w:b/>
        </w:rPr>
        <w:t xml:space="preserve">3.7 Dispute Resolution:</w:t>
      </w:r>
      <w:r>
        <w:t xml:space="preserve"> </w:t>
      </w:r>
      <w:r>
        <w:t xml:space="preserve">Any dispute arising from this Quotation Estimate shall be resolved amicably. Failing mutual agreement, the matter shall be submitted to the competent commercial court of Algiers, Algeria.</w:t>
      </w:r>
    </w:p>
    <w:p>
      <w:pPr>
        <w:pStyle w:val="BodyText"/>
      </w:pPr>
      <w:r>
        <w:t xml:space="preserve">4. Acceptance and Authorization</w:t>
      </w:r>
    </w:p>
    <w:p>
      <w:pPr>
        <w:pStyle w:val="BodyText"/>
      </w:pPr>
      <w:r>
        <w:t xml:space="preserve">By signing below, the client acknowledges receipt of this Quotation Estimate for Electronics Engineer services in Algeria Algiers and authorizes the commencement of work upon the terms stated herein. This document constitutes a binding commercial proposal and, once countersigned, forms the basis of the service contract between both parties.</w:t>
      </w:r>
    </w:p>
    <w:p>
      <w:pPr>
        <w:pStyle w:val="BodyText"/>
      </w:pPr>
      <w:r>
        <w:t xml:space="preserve">For Algeria Algiers Electronics &amp; Engineering Solutions SARL</w:t>
      </w:r>
    </w:p>
    <w:p>
      <w:pPr>
        <w:pStyle w:val="BodyText"/>
      </w:pPr>
      <w:r>
        <w:t xml:space="preserve">Ing. Karim Benali — Senior Electronics Engineer / Director</w:t>
      </w:r>
    </w:p>
    <w:p>
      <w:pPr>
        <w:pStyle w:val="BodyText"/>
      </w:pPr>
      <w:r>
        <w:t xml:space="preserve">Date: _______________</w:t>
      </w:r>
    </w:p>
    <w:p>
      <w:pPr>
        <w:pStyle w:val="BodyText"/>
      </w:pPr>
      <w:r>
        <w:t xml:space="preserve">For the Client</w:t>
      </w:r>
    </w:p>
    <w:p>
      <w:pPr>
        <w:pStyle w:val="BodyText"/>
      </w:pPr>
      <w:r>
        <w:t xml:space="preserve">Name: _______________   Title: _______________</w:t>
      </w:r>
    </w:p>
    <w:p>
      <w:pPr>
        <w:pStyle w:val="BodyText"/>
      </w:pPr>
      <w:r>
        <w:t xml:space="preserve">Date: _______________   Company Stamp:</w:t>
      </w:r>
    </w:p>
    <w:p>
      <w:pPr>
        <w:pStyle w:val="BodyText"/>
      </w:pPr>
      <w:r>
        <w:rPr>
          <w:bCs/>
          <w:b/>
        </w:rPr>
        <w:t xml:space="preserve">Important Note:</w:t>
      </w:r>
      <w:r>
        <w:t xml:space="preserve"> </w:t>
      </w:r>
      <w:r>
        <w:t xml:space="preserve">This Quotation Estimate is prepared specifically for the client named above and for the project described herein in Algeria Algiers. It may not be transferred, copied, or used for any other purpose without the prior written consent of Algeria Algiers Electronics &amp; Engineering Solutions SARL. All figures are quoted in Algerian Dinars (DZD) and are subject to the 19% Value Added Tax (VAT) as per the Algerian General Tax Code (Code Général des Impôts).</w:t>
      </w:r>
    </w:p>
    <w:p>
      <w:pPr>
        <w:pStyle w:val="BodyText"/>
      </w:pPr>
      <w:r>
        <w:t xml:space="preserve">Algeria Algiers Electronics &amp; Engineering Solutions SARL — RC: 16/00-1234567B25 — NIF: 002516123456789 — NIS: 002516123456789</w:t>
      </w:r>
    </w:p>
    <w:p>
      <w:pPr>
        <w:pStyle w:val="BodyText"/>
      </w:pPr>
      <w:r>
        <w:t xml:space="preserve">Tel: +213 (0) 23 45 67 89 — Email: contact@aae-solutions.dz — Web: www.aae-solutions.dz</w:t>
      </w:r>
    </w:p>
    <w:p>
      <w:pPr>
        <w:pStyle w:val="BodyText"/>
      </w:pPr>
      <w:r>
        <w:t xml:space="preserve">Registered Office: 14, Rue Didouche Mourad, Hydra, 16000 Algiers,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Algeria Algiers</dc:title>
  <dc:creator/>
  <dc:language>en</dc:language>
  <cp:keywords/>
  <dcterms:created xsi:type="dcterms:W3CDTF">2026-10-10T02:38:07Z</dcterms:created>
  <dcterms:modified xsi:type="dcterms:W3CDTF">2026-10-10T02:38:07Z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