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rPr>
          <w:bCs/>
          <w:b/>
        </w:rPr>
        <w:t xml:space="preserve">CircuitBridge Engineering Solutions SRL</w:t>
      </w:r>
    </w:p>
    <w:p>
      <w:pPr>
        <w:pStyle w:val="BodyText"/>
      </w:pPr>
      <w:r>
        <w:t xml:space="preserve">Avenue Louise 245, 1050 Brussels, Belgium</w:t>
      </w:r>
    </w:p>
    <w:p>
      <w:pPr>
        <w:pStyle w:val="BodyText"/>
      </w:pPr>
      <w:r>
        <w:t xml:space="preserve">VAT No: BE 0765.432.109 | Tel: +32 2 555 0147 | Email: estimates@circuitbridge.be</w:t>
      </w:r>
    </w:p>
    <w:bookmarkEnd w:id="20"/>
    <w:p>
      <w:pPr>
        <w:pStyle w:val="BodyText"/>
      </w:pPr>
      <w:r>
        <w:rPr>
          <w:bCs/>
          <w:b/>
        </w:rPr>
        <w:t xml:space="preserve">Quotation Estimate No.:</w:t>
      </w:r>
      <w:r>
        <w:t xml:space="preserve"> </w:t>
      </w:r>
      <w:r>
        <w:t xml:space="preserve">QE-2025-BRU-0487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Prepared For:</w:t>
      </w:r>
    </w:p>
    <w:p>
      <w:pPr>
        <w:pStyle w:val="BodyText"/>
      </w:pPr>
      <w:r>
        <w:rPr>
          <w:bCs/>
          <w:b/>
        </w:rPr>
        <w:t xml:space="preserve">MedTech Innovations NV</w:t>
      </w:r>
    </w:p>
    <w:p>
      <w:pPr>
        <w:pStyle w:val="BodyText"/>
      </w:pPr>
      <w:r>
        <w:t xml:space="preserve">Rue de la Loi 180, 1040 Brussels, Belgium</w:t>
      </w:r>
    </w:p>
    <w:p>
      <w:pPr>
        <w:pStyle w:val="BodyText"/>
      </w:pPr>
      <w:r>
        <w:t xml:space="preserve">Attn: Dr. Sophie Vandermeer, CTO</w:t>
      </w:r>
    </w:p>
    <w:p>
      <w:pPr>
        <w:pStyle w:val="BodyText"/>
      </w:pPr>
      <w:r>
        <w:t xml:space="preserve">VAT No: BE 0812.776.543</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CircuitBridge Engineering Solutions SRL to MedTech Innovations NV for the provision of specialised</w:t>
      </w:r>
      <w:r>
        <w:t xml:space="preserve"> </w:t>
      </w:r>
      <w:r>
        <w:t xml:space="preserve">Electronics Engineer</w:t>
      </w:r>
      <w:r>
        <w:t xml:space="preserve"> </w:t>
      </w:r>
      <w:r>
        <w:t xml:space="preserve">services to be performed within the region of</w:t>
      </w:r>
      <w:r>
        <w:t xml:space="preserve"> </w:t>
      </w:r>
      <w:r>
        <w:t xml:space="preserve">Belgium Brussels</w:t>
      </w:r>
      <w:r>
        <w:t xml:space="preserve">. The scope of work outlined in this document covers the design, prototyping, testing, and documentation of a next-generation medical sensor array intended for integration into portable diagnostic devices. All services described herein will be delivered in compliance with the applicable Belgian and European regulatory frameworks, including IEC 60601-1 for medical electrical equipment and the relevant directives of the European Union.</w:t>
      </w:r>
    </w:p>
    <w:p>
      <w:pPr>
        <w:pStyle w:val="BodyText"/>
      </w:pPr>
      <w:r>
        <w:t xml:space="preserve">This</w:t>
      </w:r>
      <w:r>
        <w:t xml:space="preserve"> </w:t>
      </w:r>
      <w:r>
        <w:t xml:space="preserve">Quotation Estimate</w:t>
      </w:r>
      <w:r>
        <w:t xml:space="preserve"> </w:t>
      </w:r>
      <w:r>
        <w:t xml:space="preserve">reflects the current market rates for a senior</w:t>
      </w:r>
      <w:r>
        <w:t xml:space="preserve"> </w:t>
      </w:r>
      <w:r>
        <w:t xml:space="preserve">Electronics Engineer</w:t>
      </w:r>
      <w:r>
        <w:t xml:space="preserve"> </w:t>
      </w:r>
      <w:r>
        <w:t xml:space="preserve">operating in the</w:t>
      </w:r>
      <w:r>
        <w:t xml:space="preserve"> </w:t>
      </w:r>
      <w:r>
        <w:t xml:space="preserve">Belgium Brussels</w:t>
      </w:r>
      <w:r>
        <w:t xml:space="preserve"> </w:t>
      </w:r>
      <w:r>
        <w:t xml:space="preserve">metropolitan area, where demand for specialised embedded systems and signal-processing expertise remains consistently high due to the concentration of pharmaceutical, medical-device, and telecommunications firms headquartered in the capital region.</w:t>
      </w:r>
    </w:p>
    <w:bookmarkEnd w:id="21"/>
    <w:bookmarkStart w:id="22" w:name="X4ef2b04b52ea0efafac82f9ef76ef52fc947eef"/>
    <w:p>
      <w:pPr>
        <w:pStyle w:val="Heading2"/>
      </w:pPr>
      <w:r>
        <w:t xml:space="preserve">2. Detailed Scope of Work – Electronics Engineer Services</w:t>
      </w:r>
    </w:p>
    <w:p>
      <w:pPr>
        <w:pStyle w:val="FirstParagraph"/>
      </w:pPr>
      <w:r>
        <w:t xml:space="preserve">The</w:t>
      </w:r>
      <w:r>
        <w:t xml:space="preserve"> </w:t>
      </w:r>
      <w:r>
        <w:t xml:space="preserve">Electronics Engineer</w:t>
      </w:r>
      <w:r>
        <w:t xml:space="preserve"> </w:t>
      </w:r>
      <w:r>
        <w:t xml:space="preserve">assigned to this project will deliver the following work packages over an estimated period of fourteen (14) weeks, commencing on 1 September 2025:</w:t>
      </w:r>
    </w:p>
    <w:p>
      <w:pPr>
        <w:numPr>
          <w:ilvl w:val="0"/>
          <w:numId w:val="1001"/>
        </w:numPr>
        <w:pStyle w:val="Compact"/>
      </w:pPr>
      <w:r>
        <w:rPr>
          <w:bCs/>
          <w:b/>
        </w:rPr>
        <w:t xml:space="preserve">Phase 1 – Requirements Analysis &amp; Architecture (Weeks 1–2):</w:t>
      </w:r>
      <w:r>
        <w:t xml:space="preserve"> </w:t>
      </w:r>
      <w:r>
        <w:t xml:space="preserve">The</w:t>
      </w:r>
      <w:r>
        <w:t xml:space="preserve"> </w:t>
      </w:r>
      <w:r>
        <w:t xml:space="preserve">Electronics Engineer</w:t>
      </w:r>
      <w:r>
        <w:t xml:space="preserve"> </w:t>
      </w:r>
      <w:r>
        <w:t xml:space="preserve">will conduct a thorough review of the client's functional specifications, perform a feasibility study on the proposed sensor topology, and deliver a system-level architecture document. All meetings and technical workshops will take place at the client's premises in</w:t>
      </w:r>
      <w:r>
        <w:t xml:space="preserve"> </w:t>
      </w:r>
      <w:r>
        <w:t xml:space="preserve">Belgium Brussels</w:t>
      </w:r>
      <w:r>
        <w:t xml:space="preserve"> </w:t>
      </w:r>
      <w:r>
        <w:t xml:space="preserve">or at our office on Avenue Louise.</w:t>
      </w:r>
    </w:p>
    <w:p>
      <w:pPr>
        <w:numPr>
          <w:ilvl w:val="0"/>
          <w:numId w:val="1001"/>
        </w:numPr>
        <w:pStyle w:val="Compact"/>
      </w:pPr>
      <w:r>
        <w:rPr>
          <w:bCs/>
          <w:b/>
        </w:rPr>
        <w:t xml:space="preserve">Phase 2 – Schematic Design &amp; PCB Layout (Weeks 3–7):</w:t>
      </w:r>
      <w:r>
        <w:t xml:space="preserve"> </w:t>
      </w:r>
      <w:r>
        <w:t xml:space="preserve">Full analogue and digital schematic design, component selection with attention to medical-grade qualification, and multi-layer PCB layout (minimum 6 layers) using industry-standard EDA tools. The</w:t>
      </w:r>
      <w:r>
        <w:t xml:space="preserve"> </w:t>
      </w:r>
      <w:r>
        <w:t xml:space="preserve">Electronics Engineer</w:t>
      </w:r>
      <w:r>
        <w:t xml:space="preserve"> </w:t>
      </w:r>
      <w:r>
        <w:t xml:space="preserve">will ensure all designs meet EMC requirements per EN 55011 and EN 61326-1.</w:t>
      </w:r>
    </w:p>
    <w:p>
      <w:pPr>
        <w:numPr>
          <w:ilvl w:val="0"/>
          <w:numId w:val="1001"/>
        </w:numPr>
        <w:pStyle w:val="Compact"/>
      </w:pPr>
      <w:r>
        <w:rPr>
          <w:bCs/>
          <w:b/>
        </w:rPr>
        <w:t xml:space="preserve">Phase 3 – Firmware Development &amp; Integration (Weeks 8–10):</w:t>
      </w:r>
      <w:r>
        <w:t xml:space="preserve"> </w:t>
      </w:r>
      <w:r>
        <w:t xml:space="preserve">Development of embedded firmware for the microcontroller unit, including signal-acquisition algorithms, digital filtering, and a low-power sleep-mode strategy. Integration testing with the client's existing software stack will be performed in the</w:t>
      </w:r>
      <w:r>
        <w:t xml:space="preserve"> </w:t>
      </w:r>
      <w:r>
        <w:t xml:space="preserve">Belgium Brussels</w:t>
      </w:r>
      <w:r>
        <w:t xml:space="preserve"> </w:t>
      </w:r>
      <w:r>
        <w:t xml:space="preserve">laboratory facilities.</w:t>
      </w:r>
    </w:p>
    <w:p>
      <w:pPr>
        <w:numPr>
          <w:ilvl w:val="0"/>
          <w:numId w:val="1001"/>
        </w:numPr>
        <w:pStyle w:val="Compact"/>
      </w:pPr>
      <w:r>
        <w:rPr>
          <w:bCs/>
          <w:b/>
        </w:rPr>
        <w:t xml:space="preserve">Phase 4 – Prototyping, Testing &amp; Validation (Weeks 11–13):</w:t>
      </w:r>
      <w:r>
        <w:t xml:space="preserve"> </w:t>
      </w:r>
      <w:r>
        <w:t xml:space="preserve">Fabrication of three (3) prototype units, bench-top testing, environmental stress screening, and preliminary EMC pre-compliance testing. The</w:t>
      </w:r>
      <w:r>
        <w:t xml:space="preserve"> </w:t>
      </w:r>
      <w:r>
        <w:t xml:space="preserve">Electronics Engineer</w:t>
      </w:r>
      <w:r>
        <w:t xml:space="preserve"> </w:t>
      </w:r>
      <w:r>
        <w:t xml:space="preserve">will prepare a detailed test report documenting all measurements and any design iterations performed.</w:t>
      </w:r>
    </w:p>
    <w:p>
      <w:pPr>
        <w:numPr>
          <w:ilvl w:val="0"/>
          <w:numId w:val="1001"/>
        </w:numPr>
        <w:pStyle w:val="Compact"/>
      </w:pPr>
      <w:r>
        <w:rPr>
          <w:bCs/>
          <w:b/>
        </w:rPr>
        <w:t xml:space="preserve">Phase 5 – Documentation &amp; Handover (Week 14):</w:t>
      </w:r>
      <w:r>
        <w:t xml:space="preserve"> </w:t>
      </w:r>
      <w:r>
        <w:t xml:space="preserve">Delivery of complete design documentation, including schematics, BOM, firmware source code, test procedures, and a design-transfer package suitable for the client's manufacturing partner. A final presentation will be held in</w:t>
      </w:r>
      <w:r>
        <w:t xml:space="preserve"> </w:t>
      </w:r>
      <w:r>
        <w:t xml:space="preserve">Belgium Brussels</w:t>
      </w:r>
      <w:r>
        <w:t xml:space="preserve">.</w:t>
      </w:r>
    </w:p>
    <w:bookmarkEnd w:id="22"/>
    <w:bookmarkStart w:id="23" w:name="financial-breakdown-quotation-estimate"/>
    <w:p>
      <w:pPr>
        <w:pStyle w:val="Heading2"/>
      </w:pPr>
      <w:r>
        <w:t xml:space="preserve">3.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Electronics Engineer – Professional Services (all phases)</w:t>
            </w:r>
          </w:p>
        </w:tc>
        <w:tc>
          <w:tcPr/>
          <w:p>
            <w:pPr>
              <w:pStyle w:val="Compact"/>
              <w:jc w:val="left"/>
            </w:pPr>
            <w:r>
              <w:t xml:space="preserve">560 hrs</w:t>
            </w:r>
          </w:p>
        </w:tc>
        <w:tc>
          <w:tcPr/>
          <w:p>
            <w:pPr>
              <w:pStyle w:val="Compact"/>
              <w:jc w:val="left"/>
            </w:pPr>
            <w:r>
              <w:t xml:space="preserve">€95.00</w:t>
            </w:r>
          </w:p>
        </w:tc>
        <w:tc>
          <w:tcPr/>
          <w:p>
            <w:pPr>
              <w:pStyle w:val="Compact"/>
              <w:jc w:val="left"/>
            </w:pPr>
            <w:r>
              <w:t xml:space="preserve">€53,200.00</w:t>
            </w:r>
          </w:p>
        </w:tc>
      </w:tr>
      <w:tr>
        <w:tc>
          <w:tcPr/>
          <w:p>
            <w:pPr>
              <w:pStyle w:val="Compact"/>
              <w:jc w:val="left"/>
            </w:pPr>
            <w:r>
              <w:t xml:space="preserve">2</w:t>
            </w:r>
          </w:p>
        </w:tc>
        <w:tc>
          <w:tcPr/>
          <w:p>
            <w:pPr>
              <w:pStyle w:val="Compact"/>
              <w:jc w:val="left"/>
            </w:pPr>
            <w:r>
              <w:t xml:space="preserve">PCB Prototyping – 3 units, 6-layer, medical-grade substrate</w:t>
            </w:r>
          </w:p>
        </w:tc>
        <w:tc>
          <w:tcPr/>
          <w:p>
            <w:pPr>
              <w:pStyle w:val="Compact"/>
              <w:jc w:val="left"/>
            </w:pPr>
            <w:r>
              <w:t xml:space="preserve">3 sets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3</w:t>
            </w:r>
          </w:p>
        </w:tc>
        <w:tc>
          <w:tcPr/>
          <w:p>
            <w:pPr>
              <w:pStyle w:val="Compact"/>
              <w:jc w:val="left"/>
            </w:pPr>
            <w:r>
              <w:t xml:space="preserve">Component Procurement – Medical-grade ICs, sensors, passives</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EMC Pre-Compliance Testing – External lab, Brussels</w:t>
            </w:r>
          </w:p>
        </w:tc>
        <w:tc>
          <w:tcPr/>
          <w:p>
            <w:pPr>
              <w:pStyle w:val="Compact"/>
              <w:jc w:val="left"/>
            </w:pPr>
            <w:r>
              <w:t xml:space="preserve">1 session</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5</w:t>
            </w:r>
          </w:p>
        </w:tc>
        <w:tc>
          <w:tcPr/>
          <w:p>
            <w:pPr>
              <w:pStyle w:val="Compact"/>
              <w:jc w:val="left"/>
            </w:pPr>
            <w:r>
              <w:t xml:space="preserve">Travel &amp; Local Transport within Belgium Brussels region</w:t>
            </w:r>
          </w:p>
        </w:tc>
        <w:tc>
          <w:tcPr/>
          <w:p>
            <w:pPr>
              <w:pStyle w:val="Compact"/>
              <w:jc w:val="left"/>
            </w:pPr>
            <w:r>
              <w:t xml:space="preserve">14 weeks</w:t>
            </w:r>
          </w:p>
        </w:tc>
        <w:tc>
          <w:tcPr/>
          <w:p>
            <w:pPr>
              <w:pStyle w:val="Compact"/>
              <w:jc w:val="left"/>
            </w:pPr>
            <w:r>
              <w:t xml:space="preserve">€120.00</w:t>
            </w:r>
          </w:p>
        </w:tc>
        <w:tc>
          <w:tcPr/>
          <w:p>
            <w:pPr>
              <w:pStyle w:val="Compact"/>
              <w:jc w:val="left"/>
            </w:pPr>
            <w:r>
              <w:t xml:space="preserve">€1,680.00</w:t>
            </w:r>
          </w:p>
        </w:tc>
      </w:tr>
      <w:tr>
        <w:tc>
          <w:tcPr/>
          <w:p>
            <w:pPr>
              <w:pStyle w:val="Compact"/>
              <w:jc w:val="left"/>
            </w:pPr>
            <w:r>
              <w:t xml:space="preserve">6</w:t>
            </w:r>
          </w:p>
        </w:tc>
        <w:tc>
          <w:tcPr/>
          <w:p>
            <w:pPr>
              <w:pStyle w:val="Compact"/>
              <w:jc w:val="left"/>
            </w:pPr>
            <w:r>
              <w:t xml:space="preserve">Project Management &amp; Reporting Overhead (10%)</w:t>
            </w:r>
          </w:p>
        </w:tc>
        <w:tc>
          <w:tcPr/>
          <w:p>
            <w:pPr>
              <w:pStyle w:val="Compact"/>
              <w:jc w:val="left"/>
            </w:pPr>
            <w:r>
              <w:t xml:space="preserve">1</w:t>
            </w:r>
          </w:p>
        </w:tc>
        <w:tc>
          <w:tcPr/>
          <w:p>
            <w:pPr>
              <w:pStyle w:val="Compact"/>
              <w:jc w:val="left"/>
            </w:pPr>
            <w:r>
              <w:t xml:space="preserve">€6,793.00</w:t>
            </w:r>
          </w:p>
        </w:tc>
        <w:tc>
          <w:tcPr/>
          <w:p>
            <w:pPr>
              <w:pStyle w:val="Compact"/>
              <w:jc w:val="left"/>
            </w:pPr>
            <w:r>
              <w:t xml:space="preserve">€6,793.00</w:t>
            </w:r>
          </w:p>
        </w:tc>
      </w:tr>
      <w:tr>
        <w:tc>
          <w:tcPr>
            <w:gridSpan w:val="4"/>
          </w:tcPr>
          <w:p>
            <w:pPr>
              <w:pStyle w:val="Compact"/>
              <w:jc w:val="left"/>
            </w:pPr>
            <w:r>
              <w:t xml:space="preserve">Subtotal</w:t>
            </w:r>
          </w:p>
        </w:tc>
        <w:tc>
          <w:tcPr/>
          <w:p>
            <w:pPr>
              <w:pStyle w:val="Compact"/>
              <w:jc w:val="left"/>
            </w:pPr>
            <w:r>
              <w:t xml:space="preserve">€74,823.00</w:t>
            </w:r>
          </w:p>
        </w:tc>
      </w:tr>
      <w:tr>
        <w:tc>
          <w:tcPr>
            <w:gridSpan w:val="4"/>
          </w:tcPr>
          <w:p>
            <w:pPr>
              <w:pStyle w:val="Compact"/>
              <w:jc w:val="left"/>
            </w:pPr>
            <w:r>
              <w:t xml:space="preserve">VAT (21% – Belgian standard rate)</w:t>
            </w:r>
          </w:p>
        </w:tc>
        <w:tc>
          <w:tcPr/>
          <w:p>
            <w:pPr>
              <w:pStyle w:val="Compact"/>
              <w:jc w:val="left"/>
            </w:pPr>
            <w:r>
              <w:t xml:space="preserve">€15,712.83</w:t>
            </w:r>
          </w:p>
        </w:tc>
      </w:tr>
      <w:tr>
        <w:tc>
          <w:tcPr>
            <w:gridSpan w:val="4"/>
          </w:tcPr>
          <w:p>
            <w:pPr>
              <w:pStyle w:val="Compact"/>
              <w:jc w:val="left"/>
            </w:pPr>
            <w:r>
              <w:t xml:space="preserve">TOTAL AMOUNT DUE (EUR)</w:t>
            </w:r>
          </w:p>
        </w:tc>
        <w:tc>
          <w:tcPr/>
          <w:p>
            <w:pPr>
              <w:pStyle w:val="Compact"/>
              <w:jc w:val="left"/>
            </w:pPr>
            <w:r>
              <w:t xml:space="preserve">€90,535.83</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three instalments via bank transfer to the account of CircuitBridge Engineering Solutions SRL, BIC GEBABEBB, IBAN BE68 5390 0754 7034:</w:t>
      </w:r>
    </w:p>
    <w:p>
      <w:pPr>
        <w:numPr>
          <w:ilvl w:val="0"/>
          <w:numId w:val="1002"/>
        </w:numPr>
        <w:pStyle w:val="Compact"/>
      </w:pPr>
      <w:r>
        <w:rPr>
          <w:bCs/>
          <w:b/>
        </w:rPr>
        <w:t xml:space="preserve">Instalment 1 (40%):</w:t>
      </w:r>
      <w:r>
        <w:t xml:space="preserve"> </w:t>
      </w:r>
      <w:r>
        <w:t xml:space="preserve">€36,214.33 – Due upon signed acceptance of this Quotation Estimate and project kick-off.</w:t>
      </w:r>
    </w:p>
    <w:p>
      <w:pPr>
        <w:numPr>
          <w:ilvl w:val="0"/>
          <w:numId w:val="1002"/>
        </w:numPr>
        <w:pStyle w:val="Compact"/>
      </w:pPr>
      <w:r>
        <w:rPr>
          <w:bCs/>
          <w:b/>
        </w:rPr>
        <w:t xml:space="preserve">Instalment 2 (35%):</w:t>
      </w:r>
      <w:r>
        <w:t xml:space="preserve"> </w:t>
      </w:r>
      <w:r>
        <w:t xml:space="preserve">€31,687.54 – Due upon completion of Phase 3 (Firmware Integration) and delivery of interim test results.</w:t>
      </w:r>
    </w:p>
    <w:p>
      <w:pPr>
        <w:numPr>
          <w:ilvl w:val="0"/>
          <w:numId w:val="1002"/>
        </w:numPr>
        <w:pStyle w:val="Compact"/>
      </w:pPr>
      <w:r>
        <w:rPr>
          <w:bCs/>
          <w:b/>
        </w:rPr>
        <w:t xml:space="preserve">Instalment 3 (25%):</w:t>
      </w:r>
      <w:r>
        <w:t xml:space="preserve"> </w:t>
      </w:r>
      <w:r>
        <w:t xml:space="preserve">€22,633.96 – Due upon final handover and acceptance of all deliverables in Week 14.</w:t>
      </w:r>
    </w:p>
    <w:p>
      <w:pPr>
        <w:pStyle w:val="FirstParagraph"/>
      </w:pPr>
      <w:r>
        <w:t xml:space="preserve">All invoices are payable within thirty (30) calendar days of the invoice date. Late payments shall accrue interest at the rate prescribed by the Belgian Code of Economic Law (Book XVII, Article 5:3).</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ninety (90) days from the date of issue. After this period, pricing may be revised to reflect changes in component availability, labour costs in</w:t>
      </w:r>
      <w:r>
        <w:t xml:space="preserve"> </w:t>
      </w:r>
      <w:r>
        <w:t xml:space="preserve">Belgium Brussels</w:t>
      </w:r>
      <w:r>
        <w:t xml:space="preserve">, or applicable regulatory updates.</w:t>
      </w:r>
    </w:p>
    <w:p>
      <w:pPr>
        <w:numPr>
          <w:ilvl w:val="0"/>
          <w:numId w:val="1003"/>
        </w:numPr>
        <w:pStyle w:val="Compact"/>
      </w:pPr>
      <w:r>
        <w:t xml:space="preserve">All intellectual property created specifically for the client under this engagement shall transfer to MedTech Innovations NV upon full payment. Background IP of the</w:t>
      </w:r>
      <w:r>
        <w:t xml:space="preserve"> </w:t>
      </w:r>
      <w:r>
        <w:t xml:space="preserve">Electronics Engineer</w:t>
      </w:r>
      <w:r>
        <w:t xml:space="preserve"> </w:t>
      </w:r>
      <w:r>
        <w:t xml:space="preserve">and CircuitBridge Engineering Solutions SRL remains the property of the respective owners.</w:t>
      </w:r>
    </w:p>
    <w:p>
      <w:pPr>
        <w:numPr>
          <w:ilvl w:val="0"/>
          <w:numId w:val="1003"/>
        </w:numPr>
        <w:pStyle w:val="Compact"/>
      </w:pPr>
      <w:r>
        <w:t xml:space="preserve">The</w:t>
      </w:r>
      <w:r>
        <w:t xml:space="preserve"> </w:t>
      </w:r>
      <w:r>
        <w:t xml:space="preserve">Electronics Engineer</w:t>
      </w:r>
      <w:r>
        <w:t xml:space="preserve"> </w:t>
      </w:r>
      <w:r>
        <w:t xml:space="preserve">shall comply with all Belgian labour regulations, data-protection obligations under the GDPR, and site-specific health-and-safety requirements at the client's</w:t>
      </w:r>
      <w:r>
        <w:t xml:space="preserve"> </w:t>
      </w:r>
      <w:r>
        <w:t xml:space="preserve">Belgium Brussels</w:t>
      </w:r>
      <w:r>
        <w:t xml:space="preserve"> </w:t>
      </w:r>
      <w:r>
        <w:t xml:space="preserve">facilities.</w:t>
      </w:r>
    </w:p>
    <w:p>
      <w:pPr>
        <w:numPr>
          <w:ilvl w:val="0"/>
          <w:numId w:val="1003"/>
        </w:numPr>
        <w:pStyle w:val="Compact"/>
      </w:pPr>
      <w:r>
        <w:t xml:space="preserve">Any change in scope beyond the work packages described in Section 2 shall be subject to a formal change-order and a revised</w:t>
      </w:r>
      <w:r>
        <w:t xml:space="preserve"> </w:t>
      </w:r>
      <w:r>
        <w:t xml:space="preserve">Quotation Estimate</w:t>
      </w:r>
      <w:r>
        <w:t xml:space="preserve"> </w:t>
      </w:r>
      <w:r>
        <w:t xml:space="preserve">prior to execution.</w:t>
      </w:r>
    </w:p>
    <w:p>
      <w:pPr>
        <w:numPr>
          <w:ilvl w:val="0"/>
          <w:numId w:val="1003"/>
        </w:numPr>
        <w:pStyle w:val="Compact"/>
      </w:pPr>
      <w:r>
        <w:t xml:space="preserve">Confidentiality: Both parties agree to maintain strict confidentiality of all technical data, trade secrets, and business information exchanged in connection with this project, in accordance with Belgian law (Code of Civil Law, Articles 1101–1102).</w:t>
      </w:r>
    </w:p>
    <w:p>
      <w:pPr>
        <w:numPr>
          <w:ilvl w:val="0"/>
          <w:numId w:val="1003"/>
        </w:numPr>
        <w:pStyle w:val="Compact"/>
      </w:pPr>
      <w:r>
        <w:t xml:space="preserve">Disputes arising from this</w:t>
      </w:r>
      <w:r>
        <w:t xml:space="preserve"> </w:t>
      </w:r>
      <w:r>
        <w:t xml:space="preserve">Quotation Estimate</w:t>
      </w:r>
      <w:r>
        <w:t xml:space="preserve"> </w:t>
      </w:r>
      <w:r>
        <w:t xml:space="preserve">or the resulting contract shall be resolved by the competent courts of Brussels, Belgium.</w:t>
      </w:r>
    </w:p>
    <w:p>
      <w:pPr>
        <w:numPr>
          <w:ilvl w:val="0"/>
          <w:numId w:val="1003"/>
        </w:numPr>
        <w:pStyle w:val="Compact"/>
      </w:pPr>
      <w:r>
        <w:t xml:space="preserve">This Quotation Estimate does not constitute a binding contract until countersigned by both parties. Acceptance is confirmed by signature and date in the block below.</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Electronics Engineer</w:t>
      </w:r>
      <w:r>
        <w:t xml:space="preserve"> </w:t>
      </w:r>
      <w:r>
        <w:t xml:space="preserve">services to be delivered in</w:t>
      </w:r>
      <w:r>
        <w:t xml:space="preserve"> </w:t>
      </w:r>
      <w:r>
        <w:t xml:space="preserve">Belgium Brussels</w:t>
      </w:r>
      <w:r>
        <w:t xml:space="preserve">.</w:t>
      </w:r>
    </w:p>
    <w:p>
      <w:pPr>
        <w:pStyle w:val="BodyText"/>
      </w:pPr>
      <w:r>
        <w:rPr>
          <w:bCs/>
          <w:b/>
        </w:rPr>
        <w:t xml:space="preserve">For CircuitBridge Engineering Solutions SRL</w:t>
      </w:r>
    </w:p>
    <w:p>
      <w:pPr>
        <w:pStyle w:val="BodyText"/>
      </w:pPr>
      <w:r>
        <w:t xml:space="preserve">Name: Mr. Jan Peeters, Managing Director</w:t>
      </w:r>
      <w:r>
        <w:br/>
      </w:r>
      <w:r>
        <w:t xml:space="preserve">Date: ______________________</w:t>
      </w:r>
      <w:r>
        <w:br/>
      </w:r>
      <w:r>
        <w:t xml:space="preserve">Signature: ______________________</w:t>
      </w:r>
    </w:p>
    <w:p>
      <w:pPr>
        <w:pStyle w:val="BodyText"/>
      </w:pPr>
      <w:r>
        <w:rPr>
          <w:bCs/>
          <w:b/>
        </w:rPr>
        <w:t xml:space="preserve">For MedTech Innovations NV</w:t>
      </w:r>
    </w:p>
    <w:p>
      <w:pPr>
        <w:pStyle w:val="BodyText"/>
      </w:pPr>
      <w:r>
        <w:t xml:space="preserve">Name: Dr. Sophie Vandermeer, CTO</w:t>
      </w:r>
      <w:r>
        <w:br/>
      </w:r>
      <w:r>
        <w:t xml:space="preserve">Date: ______________________</w:t>
      </w:r>
      <w:r>
        <w:br/>
      </w:r>
      <w:r>
        <w:t xml:space="preserve">Signature: ______________________</w:t>
      </w:r>
    </w:p>
    <w:p>
      <w:pPr>
        <w:pStyle w:val="BodyText"/>
      </w:pPr>
      <w:r>
        <w:t xml:space="preserve">CircuitBridge Engineering Solutions SRL – Quotation Estimate QE-2025-BRU-0487 – Page 1 of 1</w:t>
      </w:r>
    </w:p>
    <w:p>
      <w:pPr>
        <w:pStyle w:val="BodyText"/>
      </w:pPr>
      <w:r>
        <w:t xml:space="preserve">This document was prepared in Brussels, Belgium. All amounts are stated in Euros (EUR). Subject to Belgian VAT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Belgium Brussels</dc:title>
  <dc:creator/>
  <dc:language>en</dc:language>
  <cp:keywords/>
  <dcterms:created xsi:type="dcterms:W3CDTF">2026-10-10T00:27:24Z</dcterms:created>
  <dcterms:modified xsi:type="dcterms:W3CDTF">2026-10-10T00:27:24Z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