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Electronics Engineer Services — Germany Munich</w:t>
      </w:r>
    </w:p>
    <w:p>
      <w:pPr>
        <w:pStyle w:val="BodyText"/>
      </w:pPr>
      <w:r>
        <w:rPr>
          <w:bCs/>
          <w:b/>
        </w:rPr>
        <w:t xml:space="preserve">Ref. No.:</w:t>
      </w:r>
      <w:r>
        <w:t xml:space="preserve"> </w:t>
      </w:r>
      <w:r>
        <w:t xml:space="preserve">QTE-2025-MUC-0472  | </w:t>
      </w:r>
      <w:r>
        <w:t xml:space="preserve"> </w:t>
      </w:r>
      <w:r>
        <w:rPr>
          <w:bCs/>
          <w:b/>
        </w:rPr>
        <w:t xml:space="preserve">Valid Until:</w:t>
      </w:r>
      <w:r>
        <w:t xml:space="preserve"> </w:t>
      </w:r>
      <w:r>
        <w:t xml:space="preserve">30 June 2025  | </w:t>
      </w:r>
      <w:r>
        <w:t xml:space="preserve"> </w:t>
      </w:r>
      <w:r>
        <w:t xml:space="preserve">OFFICIAL</w:t>
      </w:r>
    </w:p>
    <w:bookmarkEnd w:id="20"/>
    <w:p>
      <w:pPr>
        <w:pStyle w:val="BodyText"/>
      </w:pPr>
      <w:r>
        <w:rPr>
          <w:bCs/>
          <w:b/>
        </w:rPr>
        <w:t xml:space="preserve">Prepared By:</w:t>
      </w:r>
      <w:r>
        <w:br/>
      </w:r>
      <w:r>
        <w:t xml:space="preserve">Dr. Markus Weber, Senior Electronics Engineer</w:t>
      </w:r>
      <w:r>
        <w:br/>
      </w:r>
      <w:r>
        <w:t xml:space="preserve">TechnoElectra GmbH</w:t>
      </w:r>
      <w:r>
        <w:br/>
      </w:r>
      <w:r>
        <w:t xml:space="preserve">Leopoldstrasse 142, 80802 Munich, Germany</w:t>
      </w:r>
      <w:r>
        <w:br/>
      </w:r>
      <w:r>
        <w:t xml:space="preserve">Tel: +49 89 5550 1234</w:t>
      </w:r>
      <w:r>
        <w:br/>
      </w:r>
      <w:r>
        <w:t xml:space="preserve">Email: m.weber@technoelectra.de</w:t>
      </w:r>
    </w:p>
    <w:p>
      <w:pPr>
        <w:pStyle w:val="BodyText"/>
      </w:pPr>
      <w:r>
        <w:rPr>
          <w:bCs/>
          <w:b/>
        </w:rPr>
        <w:t xml:space="preserve">Prepared For:</w:t>
      </w:r>
      <w:r>
        <w:br/>
      </w:r>
      <w:r>
        <w:t xml:space="preserve">Dr. Anna Schneider</w:t>
      </w:r>
      <w:r>
        <w:br/>
      </w:r>
      <w:r>
        <w:t xml:space="preserve">Bayerische Industrie AG</w:t>
      </w:r>
      <w:r>
        <w:br/>
      </w:r>
      <w:r>
        <w:t xml:space="preserve">Maximilianstrasse 88, 80539 Munich, Germany</w:t>
      </w:r>
      <w:r>
        <w:br/>
      </w:r>
      <w:r>
        <w:t xml:space="preserve">Tel: +49 89 7744 5678</w:t>
      </w:r>
      <w:r>
        <w:br/>
      </w:r>
      <w:r>
        <w:t xml:space="preserve">Email: a.schneider@bayerische-industrie.de</w:t>
      </w:r>
    </w:p>
    <w:bookmarkStart w:id="21" w:name="purpose-of-this-quotation-estimate"/>
    <w:p>
      <w:pPr>
        <w:pStyle w:val="Heading2"/>
      </w:pPr>
      <w:r>
        <w:t xml:space="preserve">1. Purpose of This Quotation Estimate</w:t>
      </w:r>
    </w:p>
    <w:p>
      <w:pPr>
        <w:pStyle w:val="FirstParagraph"/>
      </w:pPr>
      <w:r>
        <w:t xml:space="preserve">This Quotation Estimate is issued by TechnoElectra GmbH to provide a comprehensive and transparent cost breakdown for the engagement of a qualified Electronics Engineer to support the development, testing, and commissioning of embedded control systems for Bayerische Industrie AG. All services described herein will be delivered within the Munich metropolitan area, Germany, in full compliance with applicable German and European regulatory standards, including DIN, VDE, and IEC directives. This Quotation Estimate serves as a formal proposal and does not constitute a binding contract until both parties have executed the accompanying Service Agreement.</w:t>
      </w:r>
    </w:p>
    <w:bookmarkEnd w:id="21"/>
    <w:bookmarkStart w:id="22" w:name="Xac446b4b1b587023dcdc0a21f107eef9e56dcd2"/>
    <w:p>
      <w:pPr>
        <w:pStyle w:val="Heading2"/>
      </w:pPr>
      <w:r>
        <w:t xml:space="preserve">2. Scope of Work — Electronics Engineer Services</w:t>
      </w:r>
    </w:p>
    <w:p>
      <w:pPr>
        <w:pStyle w:val="FirstParagraph"/>
      </w:pPr>
      <w:r>
        <w:t xml:space="preserve">The Electronics Engineer assigned to this project will operate out of our Munich, Germany facility and will be available on-site at the client's premises in Munich as required. The scope encompasses the following deliverables:</w:t>
      </w:r>
    </w:p>
    <w:p>
      <w:pPr>
        <w:numPr>
          <w:ilvl w:val="0"/>
          <w:numId w:val="1001"/>
        </w:numPr>
        <w:pStyle w:val="Compact"/>
      </w:pPr>
      <w:r>
        <w:rPr>
          <w:bCs/>
          <w:b/>
        </w:rPr>
        <w:t xml:space="preserve">System Architecture Design:</w:t>
      </w:r>
      <w:r>
        <w:t xml:space="preserve"> </w:t>
      </w:r>
      <w:r>
        <w:t xml:space="preserve">Development of schematic diagrams, PCB layouts, and signal-integrity analysis for a 12-channel industrial control board operating at 48V DC.</w:t>
      </w:r>
    </w:p>
    <w:p>
      <w:pPr>
        <w:numPr>
          <w:ilvl w:val="0"/>
          <w:numId w:val="1001"/>
        </w:numPr>
        <w:pStyle w:val="Compact"/>
      </w:pPr>
      <w:r>
        <w:rPr>
          <w:bCs/>
          <w:b/>
        </w:rPr>
        <w:t xml:space="preserve">Component Sourcing &amp; Procurement:</w:t>
      </w:r>
      <w:r>
        <w:t xml:space="preserve"> </w:t>
      </w:r>
      <w:r>
        <w:t xml:space="preserve">Identification and procurement of all electronic components, ensuring compliance with RoHS and REACH regulations as mandated in Germany.</w:t>
      </w:r>
    </w:p>
    <w:p>
      <w:pPr>
        <w:numPr>
          <w:ilvl w:val="0"/>
          <w:numId w:val="1001"/>
        </w:numPr>
        <w:pStyle w:val="Compact"/>
      </w:pPr>
      <w:r>
        <w:rPr>
          <w:bCs/>
          <w:b/>
        </w:rPr>
        <w:t xml:space="preserve">Prototype Fabrication &amp; Assembly:</w:t>
      </w:r>
      <w:r>
        <w:t xml:space="preserve"> </w:t>
      </w:r>
      <w:r>
        <w:t xml:space="preserve">Supervision of prototype PCB assembly at our Munich workshop, including soldering, reflow, and post-assembly inspection.</w:t>
      </w:r>
    </w:p>
    <w:p>
      <w:pPr>
        <w:numPr>
          <w:ilvl w:val="0"/>
          <w:numId w:val="1001"/>
        </w:numPr>
        <w:pStyle w:val="Compact"/>
      </w:pPr>
      <w:r>
        <w:rPr>
          <w:bCs/>
          <w:b/>
        </w:rPr>
        <w:t xml:space="preserve">Functional Testing &amp; Calibration:</w:t>
      </w:r>
      <w:r>
        <w:t xml:space="preserve"> </w:t>
      </w:r>
      <w:r>
        <w:t xml:space="preserve">Execution of electrical performance testing, thermal analysis, EMC pre-compliance testing, and calibration of analog and digital signal paths.</w:t>
      </w:r>
    </w:p>
    <w:p>
      <w:pPr>
        <w:numPr>
          <w:ilvl w:val="0"/>
          <w:numId w:val="1001"/>
        </w:numPr>
        <w:pStyle w:val="Compact"/>
      </w:pPr>
      <w:r>
        <w:rPr>
          <w:bCs/>
          <w:b/>
        </w:rPr>
        <w:t xml:space="preserve">Documentation &amp; Handover:</w:t>
      </w:r>
      <w:r>
        <w:t xml:space="preserve"> </w:t>
      </w:r>
      <w:r>
        <w:t xml:space="preserve">Preparation of complete technical documentation, including assembly drawings, test reports, BOM (Bill of Materials), and user maintenance manuals in both German and English.</w:t>
      </w:r>
    </w:p>
    <w:p>
      <w:pPr>
        <w:numPr>
          <w:ilvl w:val="0"/>
          <w:numId w:val="1001"/>
        </w:numPr>
        <w:pStyle w:val="Compact"/>
      </w:pPr>
      <w:r>
        <w:rPr>
          <w:bCs/>
          <w:b/>
        </w:rPr>
        <w:t xml:space="preserve">Regulatory Compliance Review:</w:t>
      </w:r>
      <w:r>
        <w:t xml:space="preserve"> </w:t>
      </w:r>
      <w:r>
        <w:t xml:space="preserve">Verification of the final Electronics Engineer deliverables against CE marking requirements and German electrical safety standards (VDE 0100, DIN EN 61010).</w:t>
      </w:r>
    </w:p>
    <w:bookmarkEnd w:id="22"/>
    <w:bookmarkStart w:id="23" w:name="project-timeline"/>
    <w:p>
      <w:pPr>
        <w:pStyle w:val="Heading2"/>
      </w:pPr>
      <w:r>
        <w:t xml:space="preserve">3. Project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Location</w:t>
            </w:r>
          </w:p>
        </w:tc>
      </w:tr>
      <w:tr>
        <w:tc>
          <w:tcPr/>
          <w:p>
            <w:pPr>
              <w:pStyle w:val="Compact"/>
              <w:jc w:val="left"/>
            </w:pPr>
            <w:r>
              <w:t xml:space="preserve">Phase 1</w:t>
            </w:r>
          </w:p>
        </w:tc>
        <w:tc>
          <w:tcPr/>
          <w:p>
            <w:pPr>
              <w:pStyle w:val="Compact"/>
              <w:jc w:val="left"/>
            </w:pPr>
            <w:r>
              <w:t xml:space="preserve">Requirements analysis &amp; system architecture</w:t>
            </w:r>
          </w:p>
        </w:tc>
        <w:tc>
          <w:tcPr/>
          <w:p>
            <w:pPr>
              <w:pStyle w:val="Compact"/>
              <w:jc w:val="left"/>
            </w:pPr>
            <w:r>
              <w:t xml:space="preserve">Weeks 1–3</w:t>
            </w:r>
          </w:p>
        </w:tc>
        <w:tc>
          <w:tcPr/>
          <w:p>
            <w:pPr>
              <w:pStyle w:val="Compact"/>
              <w:jc w:val="left"/>
            </w:pPr>
            <w:r>
              <w:t xml:space="preserve">Munich, Germany (on-site &amp; remote)</w:t>
            </w:r>
          </w:p>
        </w:tc>
      </w:tr>
      <w:tr>
        <w:tc>
          <w:tcPr/>
          <w:p>
            <w:pPr>
              <w:pStyle w:val="Compact"/>
              <w:jc w:val="left"/>
            </w:pPr>
            <w:r>
              <w:t xml:space="preserve">Phase 2</w:t>
            </w:r>
          </w:p>
        </w:tc>
        <w:tc>
          <w:tcPr/>
          <w:p>
            <w:pPr>
              <w:pStyle w:val="Compact"/>
              <w:jc w:val="left"/>
            </w:pPr>
            <w:r>
              <w:t xml:space="preserve">PCB design, simulation &amp; component procurement</w:t>
            </w:r>
          </w:p>
        </w:tc>
        <w:tc>
          <w:tcPr/>
          <w:p>
            <w:pPr>
              <w:pStyle w:val="Compact"/>
              <w:jc w:val="left"/>
            </w:pPr>
            <w:r>
              <w:t xml:space="preserve">Weeks 4–7</w:t>
            </w:r>
          </w:p>
        </w:tc>
        <w:tc>
          <w:tcPr/>
          <w:p>
            <w:pPr>
              <w:pStyle w:val="Compact"/>
              <w:jc w:val="left"/>
            </w:pPr>
            <w:r>
              <w:t xml:space="preserve">Munich, Germany (TechnoElectra lab)</w:t>
            </w:r>
          </w:p>
        </w:tc>
      </w:tr>
      <w:tr>
        <w:tc>
          <w:tcPr/>
          <w:p>
            <w:pPr>
              <w:pStyle w:val="Compact"/>
              <w:jc w:val="left"/>
            </w:pPr>
            <w:r>
              <w:t xml:space="preserve">Phase 3</w:t>
            </w:r>
          </w:p>
        </w:tc>
        <w:tc>
          <w:tcPr/>
          <w:p>
            <w:pPr>
              <w:pStyle w:val="Compact"/>
              <w:jc w:val="left"/>
            </w:pPr>
            <w:r>
              <w:t xml:space="preserve">Prototype assembly &amp; functional testing</w:t>
            </w:r>
          </w:p>
        </w:tc>
        <w:tc>
          <w:tcPr/>
          <w:p>
            <w:pPr>
              <w:pStyle w:val="Compact"/>
              <w:jc w:val="left"/>
            </w:pPr>
            <w:r>
              <w:t xml:space="preserve">Weeks 8–11</w:t>
            </w:r>
          </w:p>
        </w:tc>
        <w:tc>
          <w:tcPr/>
          <w:p>
            <w:pPr>
              <w:pStyle w:val="Compact"/>
              <w:jc w:val="left"/>
            </w:pPr>
            <w:r>
              <w:t xml:space="preserve">Munich, Germany (TechnoElectra lab)</w:t>
            </w:r>
          </w:p>
        </w:tc>
      </w:tr>
      <w:tr>
        <w:tc>
          <w:tcPr/>
          <w:p>
            <w:pPr>
              <w:pStyle w:val="Compact"/>
              <w:jc w:val="left"/>
            </w:pPr>
            <w:r>
              <w:t xml:space="preserve">Phase 4</w:t>
            </w:r>
          </w:p>
        </w:tc>
        <w:tc>
          <w:tcPr/>
          <w:p>
            <w:pPr>
              <w:pStyle w:val="Compact"/>
              <w:jc w:val="left"/>
            </w:pPr>
            <w:r>
              <w:t xml:space="preserve">EMC testing, calibration &amp; compliance review</w:t>
            </w:r>
          </w:p>
        </w:tc>
        <w:tc>
          <w:tcPr/>
          <w:p>
            <w:pPr>
              <w:pStyle w:val="Compact"/>
              <w:jc w:val="left"/>
            </w:pPr>
            <w:r>
              <w:t xml:space="preserve">Weeks 12–14</w:t>
            </w:r>
          </w:p>
        </w:tc>
        <w:tc>
          <w:tcPr/>
          <w:p>
            <w:pPr>
              <w:pStyle w:val="Compact"/>
              <w:jc w:val="left"/>
            </w:pPr>
            <w:r>
              <w:t xml:space="preserve">Munich, Germany (accredited test lab)</w:t>
            </w:r>
          </w:p>
        </w:tc>
      </w:tr>
      <w:tr>
        <w:tc>
          <w:tcPr/>
          <w:p>
            <w:pPr>
              <w:pStyle w:val="Compact"/>
              <w:jc w:val="left"/>
            </w:pPr>
            <w:r>
              <w:t xml:space="preserve">Phase 5</w:t>
            </w:r>
          </w:p>
        </w:tc>
        <w:tc>
          <w:tcPr/>
          <w:p>
            <w:pPr>
              <w:pStyle w:val="Compact"/>
              <w:jc w:val="left"/>
            </w:pPr>
            <w:r>
              <w:t xml:space="preserve">Final documentation, handover &amp; client training</w:t>
            </w:r>
          </w:p>
        </w:tc>
        <w:tc>
          <w:tcPr/>
          <w:p>
            <w:pPr>
              <w:pStyle w:val="Compact"/>
              <w:jc w:val="left"/>
            </w:pPr>
            <w:r>
              <w:t xml:space="preserve">Week 15</w:t>
            </w:r>
          </w:p>
        </w:tc>
        <w:tc>
          <w:tcPr/>
          <w:p>
            <w:pPr>
              <w:pStyle w:val="Compact"/>
              <w:jc w:val="left"/>
            </w:pPr>
            <w:r>
              <w:t xml:space="preserve">Munich, Germany (client premises)</w:t>
            </w:r>
          </w:p>
        </w:tc>
      </w:tr>
    </w:tbl>
    <w:bookmarkEnd w:id="23"/>
    <w:bookmarkStart w:id="24" w:name="X163bad9532cf4f79db0625319df19f0f800d6d6"/>
    <w:p>
      <w:pPr>
        <w:pStyle w:val="Heading2"/>
      </w:pPr>
      <w:r>
        <w:t xml:space="preserve">4. Financial Breakdown — Quotation Estimate Summary</w:t>
      </w:r>
    </w:p>
    <w:p>
      <w:pPr>
        <w:pStyle w:val="FirstParagraph"/>
      </w:pPr>
      <w:r>
        <w:t xml:space="preserve">The following Quotation Estimate outlines all anticipated costs associated with the Electronics Engineer engagement. All prices are quoted in Euro (EUR) and are exclusive of the applicable 19% German Value Added Tax (Mehrwertsteuer / VAT).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Rate / Cost (EUR)</w:t>
            </w:r>
          </w:p>
        </w:tc>
        <w:tc>
          <w:tcPr/>
          <w:p>
            <w:pPr>
              <w:pStyle w:val="Compact"/>
              <w:jc w:val="left"/>
            </w:pPr>
            <w:r>
              <w:t xml:space="preserve">Quantity</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Electronics Engineer — Senior (Dr. M. Weber)</w:t>
            </w:r>
          </w:p>
        </w:tc>
        <w:tc>
          <w:tcPr/>
          <w:p>
            <w:pPr>
              <w:pStyle w:val="Compact"/>
              <w:jc w:val="left"/>
            </w:pPr>
            <w:r>
              <w:t xml:space="preserve">€120.00 / hr</w:t>
            </w:r>
          </w:p>
        </w:tc>
        <w:tc>
          <w:tcPr/>
          <w:p>
            <w:pPr>
              <w:pStyle w:val="Compact"/>
              <w:jc w:val="left"/>
            </w:pPr>
            <w:r>
              <w:t xml:space="preserve">180 hrs</w:t>
            </w:r>
          </w:p>
        </w:tc>
        <w:tc>
          <w:tcPr/>
          <w:p>
            <w:pPr>
              <w:pStyle w:val="Compact"/>
              <w:jc w:val="left"/>
            </w:pPr>
            <w:r>
              <w:t xml:space="preserve">€21,600.00</w:t>
            </w:r>
          </w:p>
        </w:tc>
      </w:tr>
      <w:tr>
        <w:tc>
          <w:tcPr/>
          <w:p>
            <w:pPr>
              <w:pStyle w:val="Compact"/>
              <w:jc w:val="left"/>
            </w:pPr>
            <w:r>
              <w:t xml:space="preserve">2</w:t>
            </w:r>
          </w:p>
        </w:tc>
        <w:tc>
          <w:tcPr/>
          <w:p>
            <w:pPr>
              <w:pStyle w:val="Compact"/>
              <w:jc w:val="left"/>
            </w:pPr>
            <w:r>
              <w:t xml:space="preserve">Electronics Engineer — Junior (T. Fischer)</w:t>
            </w:r>
          </w:p>
        </w:tc>
        <w:tc>
          <w:tcPr/>
          <w:p>
            <w:pPr>
              <w:pStyle w:val="Compact"/>
              <w:jc w:val="left"/>
            </w:pPr>
            <w:r>
              <w:t xml:space="preserve">€75.00 / hr</w:t>
            </w:r>
          </w:p>
        </w:tc>
        <w:tc>
          <w:tcPr/>
          <w:p>
            <w:pPr>
              <w:pStyle w:val="Compact"/>
              <w:jc w:val="left"/>
            </w:pPr>
            <w:r>
              <w:t xml:space="preserve">120 hrs</w:t>
            </w:r>
          </w:p>
        </w:tc>
        <w:tc>
          <w:tcPr/>
          <w:p>
            <w:pPr>
              <w:pStyle w:val="Compact"/>
              <w:jc w:val="left"/>
            </w:pPr>
            <w:r>
              <w:t xml:space="preserve">€9,000.00</w:t>
            </w:r>
          </w:p>
        </w:tc>
      </w:tr>
      <w:tr>
        <w:tc>
          <w:tcPr/>
          <w:p>
            <w:pPr>
              <w:pStyle w:val="Compact"/>
              <w:jc w:val="left"/>
            </w:pPr>
            <w:r>
              <w:t xml:space="preserve">3</w:t>
            </w:r>
          </w:p>
        </w:tc>
        <w:tc>
          <w:tcPr/>
          <w:p>
            <w:pPr>
              <w:pStyle w:val="Compact"/>
              <w:jc w:val="left"/>
            </w:pPr>
            <w:r>
              <w:t xml:space="preserve">PCB fabrication &amp; assembly (4 prototypes)</w:t>
            </w:r>
          </w:p>
        </w:tc>
        <w:tc>
          <w:tcPr/>
          <w:p>
            <w:pPr>
              <w:pStyle w:val="Compact"/>
              <w:jc w:val="left"/>
            </w:pPr>
            <w:r>
              <w:t xml:space="preserve">€2,850.00 / unit</w:t>
            </w:r>
          </w:p>
        </w:tc>
        <w:tc>
          <w:tcPr/>
          <w:p>
            <w:pPr>
              <w:pStyle w:val="Compact"/>
              <w:jc w:val="left"/>
            </w:pPr>
            <w:r>
              <w:t xml:space="preserve">4 units</w:t>
            </w:r>
          </w:p>
        </w:tc>
        <w:tc>
          <w:tcPr/>
          <w:p>
            <w:pPr>
              <w:pStyle w:val="Compact"/>
              <w:jc w:val="left"/>
            </w:pPr>
            <w:r>
              <w:t xml:space="preserve">€11,400.00</w:t>
            </w:r>
          </w:p>
        </w:tc>
      </w:tr>
      <w:tr>
        <w:tc>
          <w:tcPr/>
          <w:p>
            <w:pPr>
              <w:pStyle w:val="Compact"/>
              <w:jc w:val="left"/>
            </w:pPr>
            <w:r>
              <w:t xml:space="preserve">4</w:t>
            </w:r>
          </w:p>
        </w:tc>
        <w:tc>
          <w:tcPr/>
          <w:p>
            <w:pPr>
              <w:pStyle w:val="Compact"/>
              <w:jc w:val="left"/>
            </w:pPr>
            <w:r>
              <w:t xml:space="preserve">Electronic components &amp; materials</w:t>
            </w:r>
          </w:p>
        </w:tc>
        <w:tc>
          <w:tcPr/>
          <w:p>
            <w:pPr>
              <w:pStyle w:val="Compact"/>
              <w:jc w:val="left"/>
            </w:pPr>
            <w:r>
              <w:t xml:space="preserve">Flat rate</w:t>
            </w:r>
          </w:p>
        </w:tc>
        <w:tc>
          <w:tcPr/>
          <w:p>
            <w:pPr>
              <w:pStyle w:val="Compact"/>
              <w:jc w:val="left"/>
            </w:pPr>
            <w:r>
              <w:t xml:space="preserve">1 lot</w:t>
            </w:r>
          </w:p>
        </w:tc>
        <w:tc>
          <w:tcPr/>
          <w:p>
            <w:pPr>
              <w:pStyle w:val="Compact"/>
              <w:jc w:val="left"/>
            </w:pPr>
            <w:r>
              <w:t xml:space="preserve">€6,750.00</w:t>
            </w:r>
          </w:p>
        </w:tc>
      </w:tr>
      <w:tr>
        <w:tc>
          <w:tcPr/>
          <w:p>
            <w:pPr>
              <w:pStyle w:val="Compact"/>
              <w:jc w:val="left"/>
            </w:pPr>
            <w:r>
              <w:t xml:space="preserve">5</w:t>
            </w:r>
          </w:p>
        </w:tc>
        <w:tc>
          <w:tcPr/>
          <w:p>
            <w:pPr>
              <w:pStyle w:val="Compact"/>
              <w:jc w:val="left"/>
            </w:pPr>
            <w:r>
              <w:t xml:space="preserve">EMC pre-compliance testing (accredited lab, Munich)</w:t>
            </w:r>
          </w:p>
        </w:tc>
        <w:tc>
          <w:tcPr/>
          <w:p>
            <w:pPr>
              <w:pStyle w:val="Compact"/>
              <w:jc w:val="left"/>
            </w:pPr>
            <w:r>
              <w:t xml:space="preserve">Flat rate</w:t>
            </w:r>
          </w:p>
        </w:tc>
        <w:tc>
          <w:tcPr/>
          <w:p>
            <w:pPr>
              <w:pStyle w:val="Compact"/>
              <w:jc w:val="left"/>
            </w:pPr>
            <w:r>
              <w:t xml:space="preserve">1 session</w:t>
            </w:r>
          </w:p>
        </w:tc>
        <w:tc>
          <w:tcPr/>
          <w:p>
            <w:pPr>
              <w:pStyle w:val="Compact"/>
              <w:jc w:val="left"/>
            </w:pPr>
            <w:r>
              <w:t xml:space="preserve">€4,200.00</w:t>
            </w:r>
          </w:p>
        </w:tc>
      </w:tr>
      <w:tr>
        <w:tc>
          <w:tcPr/>
          <w:p>
            <w:pPr>
              <w:pStyle w:val="Compact"/>
              <w:jc w:val="left"/>
            </w:pPr>
            <w:r>
              <w:t xml:space="preserve">6</w:t>
            </w:r>
          </w:p>
        </w:tc>
        <w:tc>
          <w:tcPr/>
          <w:p>
            <w:pPr>
              <w:pStyle w:val="Compact"/>
              <w:jc w:val="left"/>
            </w:pPr>
            <w:r>
              <w:t xml:space="preserve">Travel &amp; on-site presence within Munich, Germany</w:t>
            </w:r>
          </w:p>
        </w:tc>
        <w:tc>
          <w:tcPr/>
          <w:p>
            <w:pPr>
              <w:pStyle w:val="Compact"/>
              <w:jc w:val="left"/>
            </w:pPr>
            <w:r>
              <w:t xml:space="preserve">€45.00 / day</w:t>
            </w:r>
          </w:p>
        </w:tc>
        <w:tc>
          <w:tcPr/>
          <w:p>
            <w:pPr>
              <w:pStyle w:val="Compact"/>
              <w:jc w:val="left"/>
            </w:pPr>
            <w:r>
              <w:t xml:space="preserve">12 days</w:t>
            </w:r>
          </w:p>
        </w:tc>
        <w:tc>
          <w:tcPr/>
          <w:p>
            <w:pPr>
              <w:pStyle w:val="Compact"/>
              <w:jc w:val="left"/>
            </w:pPr>
            <w:r>
              <w:t xml:space="preserve">€540.00</w:t>
            </w:r>
          </w:p>
        </w:tc>
      </w:tr>
      <w:tr>
        <w:tc>
          <w:tcPr/>
          <w:p>
            <w:pPr>
              <w:pStyle w:val="Compact"/>
              <w:jc w:val="left"/>
            </w:pPr>
            <w:r>
              <w:t xml:space="preserve">7</w:t>
            </w:r>
          </w:p>
        </w:tc>
        <w:tc>
          <w:tcPr/>
          <w:p>
            <w:pPr>
              <w:pStyle w:val="Compact"/>
              <w:jc w:val="left"/>
            </w:pPr>
            <w:r>
              <w:t xml:space="preserve">Technical documentation &amp; translation (DE/EN)</w:t>
            </w:r>
          </w:p>
        </w:tc>
        <w:tc>
          <w:tcPr/>
          <w:p>
            <w:pPr>
              <w:pStyle w:val="Compact"/>
              <w:jc w:val="left"/>
            </w:pPr>
            <w:r>
              <w:t xml:space="preserve">Flat rate</w:t>
            </w:r>
          </w:p>
        </w:tc>
        <w:tc>
          <w:tcPr/>
          <w:p>
            <w:pPr>
              <w:pStyle w:val="Compact"/>
              <w:jc w:val="left"/>
            </w:pPr>
            <w:r>
              <w:t xml:space="preserve">1 set</w:t>
            </w:r>
          </w:p>
        </w:tc>
        <w:tc>
          <w:tcPr/>
          <w:p>
            <w:pPr>
              <w:pStyle w:val="Compact"/>
              <w:jc w:val="left"/>
            </w:pPr>
            <w:r>
              <w:t xml:space="preserve">€1,800.00</w:t>
            </w:r>
          </w:p>
        </w:tc>
      </w:tr>
      <w:tr>
        <w:tc>
          <w:tcPr>
            <w:gridSpan w:val="4"/>
          </w:tcPr>
          <w:p>
            <w:pPr>
              <w:pStyle w:val="Compact"/>
              <w:jc w:val="left"/>
            </w:pPr>
            <w:r>
              <w:t xml:space="preserve">Subtotal (excl. VAT)</w:t>
            </w:r>
          </w:p>
        </w:tc>
        <w:tc>
          <w:tcPr/>
          <w:p>
            <w:pPr>
              <w:pStyle w:val="Compact"/>
              <w:jc w:val="left"/>
            </w:pPr>
            <w:r>
              <w:t xml:space="preserve">€55,290.00</w:t>
            </w:r>
          </w:p>
        </w:tc>
      </w:tr>
      <w:tr>
        <w:tc>
          <w:tcPr>
            <w:gridSpan w:val="4"/>
          </w:tcPr>
          <w:p>
            <w:pPr>
              <w:pStyle w:val="Compact"/>
              <w:jc w:val="left"/>
            </w:pPr>
            <w:r>
              <w:t xml:space="preserve">VAT (19% — Germany)</w:t>
            </w:r>
          </w:p>
        </w:tc>
        <w:tc>
          <w:tcPr/>
          <w:p>
            <w:pPr>
              <w:pStyle w:val="Compact"/>
              <w:jc w:val="left"/>
            </w:pPr>
            <w:r>
              <w:t xml:space="preserve">€10,505.10</w:t>
            </w:r>
          </w:p>
        </w:tc>
      </w:tr>
      <w:tr>
        <w:tc>
          <w:tcPr>
            <w:gridSpan w:val="4"/>
          </w:tcPr>
          <w:p>
            <w:pPr>
              <w:pStyle w:val="Compact"/>
              <w:jc w:val="left"/>
            </w:pPr>
            <w:r>
              <w:rPr>
                <w:bCs/>
                <w:b/>
              </w:rPr>
              <w:t xml:space="preserve">Grand Total (incl. VAT)</w:t>
            </w:r>
          </w:p>
        </w:tc>
        <w:tc>
          <w:tcPr/>
          <w:p>
            <w:pPr>
              <w:pStyle w:val="Compact"/>
              <w:jc w:val="left"/>
            </w:pPr>
            <w:r>
              <w:rPr>
                <w:bCs/>
                <w:b/>
              </w:rPr>
              <w:t xml:space="preserve">€65,795.10</w:t>
            </w:r>
          </w:p>
        </w:tc>
      </w:tr>
    </w:tbl>
    <w:bookmarkEnd w:id="24"/>
    <w:bookmarkStart w:id="25" w:name="payment-terms"/>
    <w:p>
      <w:pPr>
        <w:pStyle w:val="Heading2"/>
      </w:pPr>
      <w:r>
        <w:t xml:space="preserve">5. Payment Terms</w:t>
      </w:r>
    </w:p>
    <w:p>
      <w:pPr>
        <w:pStyle w:val="FirstParagraph"/>
      </w:pPr>
      <w:r>
        <w:t xml:space="preserve">Payment for this Quotation Estimate shall be structured as follows: 30% advance payment upon contract signing, 40% upon completion of Phase 3 (prototype assembly and functional testing), and the remaining 30% upon final acceptance and handover of all deliverables. All invoices are payable within 14 calendar days via bank transfer to the account of TechnoElectra GmbH, IBAN: DE89 7002 0500 0009 8765 43, BIC: PBNKDEFF, Munich, Germany. Late payments will incur interest at the statutory rate under German commercial law (BGB §288).</w:t>
      </w:r>
    </w:p>
    <w:bookmarkEnd w:id="25"/>
    <w:bookmarkStart w:id="26" w:name="terms-and-conditions"/>
    <w:p>
      <w:pPr>
        <w:pStyle w:val="Heading2"/>
      </w:pPr>
      <w:r>
        <w:t xml:space="preserve">6. Terms and Conditions</w:t>
      </w:r>
    </w:p>
    <w:p>
      <w:pPr>
        <w:numPr>
          <w:ilvl w:val="0"/>
          <w:numId w:val="1002"/>
        </w:numPr>
        <w:pStyle w:val="Compact"/>
      </w:pPr>
      <w:r>
        <w:t xml:space="preserve">This Quotation Estimate is valid for a period of 30 calendar days from the date of issue. After expiry, all rates and availability must be reconfirmed in writing.</w:t>
      </w:r>
    </w:p>
    <w:p>
      <w:pPr>
        <w:numPr>
          <w:ilvl w:val="0"/>
          <w:numId w:val="1002"/>
        </w:numPr>
        <w:pStyle w:val="Compact"/>
      </w:pPr>
      <w:r>
        <w:t xml:space="preserve">The Electronics Engineer services are governed by the German Civil Code (BGB) and the applicable provisions of the German Commercial Code (HGB). The exclusive place of jurisdiction is Munich, Germany.</w:t>
      </w:r>
    </w:p>
    <w:p>
      <w:pPr>
        <w:numPr>
          <w:ilvl w:val="0"/>
          <w:numId w:val="1002"/>
        </w:numPr>
        <w:pStyle w:val="Compact"/>
      </w:pPr>
      <w:r>
        <w:t xml:space="preserve">TechnoElectra GmbH shall maintain full professional indemnity and liability insurance coverage in accordance with German statutory requirements throughout the project duration.</w:t>
      </w:r>
    </w:p>
    <w:p>
      <w:pPr>
        <w:numPr>
          <w:ilvl w:val="0"/>
          <w:numId w:val="1002"/>
        </w:numPr>
        <w:pStyle w:val="Compact"/>
      </w:pPr>
      <w:r>
        <w:t xml:space="preserve">All intellectual property created specifically for Bayerische Industrie AG under this engagement shall vest in the client upon full payment. Background IP of the Electronics Engineer and TechnoElectra GmbH remains the property of the respective owners.</w:t>
      </w:r>
    </w:p>
    <w:p>
      <w:pPr>
        <w:numPr>
          <w:ilvl w:val="0"/>
          <w:numId w:val="1002"/>
        </w:numPr>
        <w:pStyle w:val="Compact"/>
      </w:pPr>
      <w:r>
        <w:t xml:space="preserve">Any changes to the scope of work must be agreed upon in writing via a formal change-order amendment to this Quotation Estimate before additional work commences.</w:t>
      </w:r>
    </w:p>
    <w:p>
      <w:pPr>
        <w:numPr>
          <w:ilvl w:val="0"/>
          <w:numId w:val="1002"/>
        </w:numPr>
        <w:pStyle w:val="Compact"/>
      </w:pPr>
      <w:r>
        <w:t xml:space="preserve">Confidentiality obligations as defined in the mutual NDA dated 01 March 2025 shall apply to all project data, designs, and documentation exchanged between the parties in Munich, Germany.</w:t>
      </w:r>
    </w:p>
    <w:p>
      <w:pPr>
        <w:numPr>
          <w:ilvl w:val="0"/>
          <w:numId w:val="1002"/>
        </w:numPr>
        <w:pStyle w:val="Compact"/>
      </w:pPr>
      <w:r>
        <w:t xml:space="preserve">This Quotation Estimate does not include costs for third-party certification bodies (e.g., TÜV SÜD, DEKRA) beyond the EMC pre-compliance session listed in Item 5. Such costs, if required, will be quoted separately.</w:t>
      </w:r>
    </w:p>
    <w:bookmarkEnd w:id="26"/>
    <w:bookmarkStart w:id="27" w:name="acceptance"/>
    <w:p>
      <w:pPr>
        <w:pStyle w:val="Heading2"/>
      </w:pPr>
      <w:r>
        <w:t xml:space="preserve">7. Acceptance</w:t>
      </w:r>
    </w:p>
    <w:p>
      <w:pPr>
        <w:pStyle w:val="FirstParagraph"/>
      </w:pPr>
      <w:r>
        <w:t xml:space="preserve">By signing below, the client acknowledges receipt of this Quotation Estimate for Electronics Engineer services in Germany Munich and agrees to the terms, conditions, and financial breakdown set forth herein. This signature constitutes a binding acceptance and triggers the commencement of the project timeline outlined in Section 3.</w:t>
      </w:r>
    </w:p>
    <w:bookmarkEnd w:id="27"/>
    <w:p>
      <w:pPr>
        <w:pStyle w:val="BodyText"/>
      </w:pPr>
      <w:r>
        <w:rPr>
          <w:bCs/>
          <w:b/>
        </w:rPr>
        <w:t xml:space="preserve">For TechnoElectra GmbH</w:t>
      </w:r>
    </w:p>
    <w:p>
      <w:pPr>
        <w:pStyle w:val="BodyText"/>
      </w:pPr>
      <w:r>
        <w:t xml:space="preserve">Dr. Markus Weber — Senior Electronics Engineer</w:t>
      </w:r>
    </w:p>
    <w:p>
      <w:pPr>
        <w:pStyle w:val="BodyText"/>
      </w:pPr>
      <w:r>
        <w:t xml:space="preserve">Date: ____________________</w:t>
      </w:r>
    </w:p>
    <w:p>
      <w:pPr>
        <w:pStyle w:val="BodyText"/>
      </w:pPr>
      <w:r>
        <w:rPr>
          <w:bCs/>
          <w:b/>
        </w:rPr>
        <w:t xml:space="preserve">For Bayerische Industrie AG</w:t>
      </w:r>
    </w:p>
    <w:p>
      <w:pPr>
        <w:pStyle w:val="BodyText"/>
      </w:pPr>
      <w:r>
        <w:t xml:space="preserve">Dr. Anna Schneider — Project Director</w:t>
      </w:r>
    </w:p>
    <w:p>
      <w:pPr>
        <w:pStyle w:val="BodyText"/>
      </w:pPr>
      <w:r>
        <w:t xml:space="preserve">Date: ____________________</w:t>
      </w:r>
    </w:p>
    <w:p>
      <w:pPr>
        <w:pStyle w:val="BodyText"/>
      </w:pPr>
      <w:r>
        <w:t xml:space="preserve">© 2025 TechnoElectra GmbH — Leopoldstrasse 142, 80802 Munich, Germany — HRB 123456, Amtsgericht München — This Quotation Estimate is a confidential commercial document. Unauthorized reproduction or distribution is prohibited under German copyright law (UrhG).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Germany Munich</dc:title>
  <dc:creator/>
  <dc:language>en</dc:language>
  <cp:keywords/>
  <dcterms:created xsi:type="dcterms:W3CDTF">2026-10-10T01:41:19Z</dcterms:created>
  <dcterms:modified xsi:type="dcterms:W3CDTF">2026-10-10T01:41:19Z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