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PT Nusantara Electronics Solutions</w:t>
      </w:r>
    </w:p>
    <w:p>
      <w:pPr>
        <w:pStyle w:val="BodyText"/>
      </w:pPr>
      <w:r>
        <w:t xml:space="preserve">Jl. Jend. Sudirman Kav. 52-53, SCBD District, Jakarta Selatan, Indonesia 12190</w:t>
      </w:r>
    </w:p>
    <w:p>
      <w:pPr>
        <w:pStyle w:val="BodyText"/>
      </w:pPr>
      <w:r>
        <w:t xml:space="preserve">Tel: +62-21-5790-4455 | Email: quotations@nusantara-electronics.co.id</w:t>
      </w:r>
    </w:p>
    <w:p>
      <w:pPr>
        <w:pStyle w:val="BodyText"/>
      </w:pPr>
      <w:r>
        <w:t xml:space="preserve">NPWP: 01.234.567.8-011.000 | Business License (NIB): 1234567890123</w:t>
      </w:r>
    </w:p>
    <w:bookmarkEnd w:id="20"/>
    <w:p>
      <w:pPr>
        <w:pStyle w:val="BodyText"/>
      </w:pPr>
      <w:r>
        <w:rPr>
          <w:bCs/>
          <w:b/>
        </w:rPr>
        <w:t xml:space="preserve">Quotation No.:</w:t>
      </w:r>
      <w:r>
        <w:t xml:space="preserve"> </w:t>
      </w:r>
      <w:r>
        <w:t xml:space="preserve">QTE/JKT/2025/00472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PT Maju Industri Teknologi</w:t>
      </w:r>
    </w:p>
    <w:p>
      <w:pPr>
        <w:pStyle w:val="BodyText"/>
      </w:pPr>
      <w:r>
        <w:t xml:space="preserve">Jl. Raya Bogor KM 28, Cileungsi, Bogor, Indonesia 16820</w:t>
      </w:r>
    </w:p>
    <w:p>
      <w:pPr>
        <w:pStyle w:val="BodyText"/>
      </w:pPr>
      <w:r>
        <w:t xml:space="preserve">Attn: Mr. Hendra Wijaya, Procurement Manager</w:t>
      </w:r>
    </w:p>
    <w:p>
      <w:pPr>
        <w:pStyle w:val="BodyText"/>
      </w:pPr>
      <w:r>
        <w:t xml:space="preserve">Dear Mr. Hendra Wijaya,</w:t>
      </w:r>
    </w:p>
    <w:p>
      <w:pPr>
        <w:pStyle w:val="BodyText"/>
      </w:pPr>
      <w:r>
        <w:t xml:space="preserve">Thank you for your inquiry regarding professional</w:t>
      </w:r>
      <w:r>
        <w:t xml:space="preserve"> </w:t>
      </w:r>
      <w:r>
        <w:t xml:space="preserve">Electronics Engineer</w:t>
      </w:r>
      <w:r>
        <w:t xml:space="preserve"> </w:t>
      </w:r>
      <w:r>
        <w:t xml:space="preserve">services for your manufacturing facility located in the Greater Jakarta area. This</w:t>
      </w:r>
      <w:r>
        <w:t xml:space="preserve"> </w:t>
      </w:r>
      <w:r>
        <w:t xml:space="preserve">Quotation Estimate</w:t>
      </w:r>
      <w:r>
        <w:t xml:space="preserve"> </w:t>
      </w:r>
      <w:r>
        <w:t xml:space="preserve">has been carefully prepared to outline the full scope of work, associated costs, and terms of engagement for the provision of qualified</w:t>
      </w:r>
      <w:r>
        <w:t xml:space="preserve"> </w:t>
      </w:r>
      <w:r>
        <w:t xml:space="preserve">Electronics Engineer</w:t>
      </w:r>
      <w:r>
        <w:t xml:space="preserve"> </w:t>
      </w:r>
      <w:r>
        <w:t xml:space="preserve">consultancy and implementation services in</w:t>
      </w:r>
      <w:r>
        <w:t xml:space="preserve"> </w:t>
      </w:r>
      <w:r>
        <w:t xml:space="preserve">Indonesia Jakarta</w:t>
      </w:r>
      <w:r>
        <w:t xml:space="preserve">. We are pleased to present this detailed proposal for your review and consideration.</w:t>
      </w:r>
    </w:p>
    <w:p>
      <w:pPr>
        <w:pStyle w:val="BodyText"/>
      </w:pPr>
      <w:r>
        <w:t xml:space="preserve">1. Scope of Work – Electronics Engineer Services in Indonesia Jakarta</w:t>
      </w:r>
    </w:p>
    <w:p>
      <w:pPr>
        <w:pStyle w:val="BodyText"/>
      </w:pPr>
      <w:r>
        <w:t xml:space="preserve">The following</w:t>
      </w:r>
      <w:r>
        <w:t xml:space="preserve"> </w:t>
      </w:r>
      <w:r>
        <w:t xml:space="preserve">Quotation Estimate</w:t>
      </w:r>
      <w:r>
        <w:t xml:space="preserve"> </w:t>
      </w:r>
      <w:r>
        <w:t xml:space="preserve">covers the engagement of a senior</w:t>
      </w:r>
      <w:r>
        <w:t xml:space="preserve"> </w:t>
      </w:r>
      <w:r>
        <w:t xml:space="preserve">Electronics Engineer</w:t>
      </w:r>
      <w:r>
        <w:t xml:space="preserve"> </w:t>
      </w:r>
      <w:r>
        <w:t xml:space="preserve">and a supporting technical team to deliver comprehensive electronics design, testing, and integration services at your production site in</w:t>
      </w:r>
      <w:r>
        <w:t xml:space="preserve"> </w:t>
      </w:r>
      <w:r>
        <w:t xml:space="preserve">Indonesia Jakarta</w:t>
      </w:r>
      <w:r>
        <w:t xml:space="preserve">. The scope includes but is not limited to:</w:t>
      </w:r>
    </w:p>
    <w:p>
      <w:pPr>
        <w:numPr>
          <w:ilvl w:val="0"/>
          <w:numId w:val="1001"/>
        </w:numPr>
        <w:pStyle w:val="Compact"/>
      </w:pPr>
      <w:r>
        <w:t xml:space="preserve">Design and development of custom printed circuit board (PCB) assemblies for industrial control systems, with a minimum of three (3) revision cycles included.</w:t>
      </w:r>
    </w:p>
    <w:p>
      <w:pPr>
        <w:numPr>
          <w:ilvl w:val="0"/>
          <w:numId w:val="1001"/>
        </w:numPr>
        <w:pStyle w:val="Compact"/>
      </w:pPr>
      <w:r>
        <w:t xml:space="preserve">Electrical schematic design, component selection, and bill of materials (BOM) preparation compliant with IEC 60950 and SNI (Standar Nasional Indonesia) regulations applicable in</w:t>
      </w:r>
      <w:r>
        <w:t xml:space="preserve"> </w:t>
      </w:r>
      <w:r>
        <w:t xml:space="preserve">Indonesia Jakarta</w:t>
      </w:r>
      <w:r>
        <w:t xml:space="preserve">.</w:t>
      </w:r>
    </w:p>
    <w:p>
      <w:pPr>
        <w:numPr>
          <w:ilvl w:val="0"/>
          <w:numId w:val="1001"/>
        </w:numPr>
        <w:pStyle w:val="Compact"/>
      </w:pPr>
      <w:r>
        <w:t xml:space="preserve">On-site installation, calibration, and commissioning of electronic control units at the client's facility in Cileungsi, Bogor (serving the Jakarta metropolitan industrial corridor).</w:t>
      </w:r>
    </w:p>
    <w:p>
      <w:pPr>
        <w:numPr>
          <w:ilvl w:val="0"/>
          <w:numId w:val="1001"/>
        </w:numPr>
        <w:pStyle w:val="Compact"/>
      </w:pPr>
      <w:r>
        <w:t xml:space="preserve">Functional testing, signal integrity analysis, and electromagnetic compatibility (EMC) verification in accordance with Indonesian national standards.</w:t>
      </w:r>
    </w:p>
    <w:p>
      <w:pPr>
        <w:numPr>
          <w:ilvl w:val="0"/>
          <w:numId w:val="1001"/>
        </w:numPr>
        <w:pStyle w:val="Compact"/>
      </w:pPr>
      <w:r>
        <w:t xml:space="preserve">Preparation of technical documentation, including as-built drawings, test reports, and user operation manuals in both Bahasa Indonesia and English.</w:t>
      </w:r>
    </w:p>
    <w:p>
      <w:pPr>
        <w:numPr>
          <w:ilvl w:val="0"/>
          <w:numId w:val="1001"/>
        </w:numPr>
        <w:pStyle w:val="Compact"/>
      </w:pPr>
      <w:r>
        <w:t xml:space="preserve">Two (2) on-site training sessions for the client's in-house maintenance staff, conducted at the</w:t>
      </w:r>
      <w:r>
        <w:t xml:space="preserve"> </w:t>
      </w:r>
      <w:r>
        <w:t xml:space="preserve">Indonesia Jakarta</w:t>
      </w:r>
      <w:r>
        <w:t xml:space="preserve"> </w:t>
      </w:r>
      <w:r>
        <w:t xml:space="preserve">project site.</w:t>
      </w:r>
    </w:p>
    <w:p>
      <w:pPr>
        <w:numPr>
          <w:ilvl w:val="0"/>
          <w:numId w:val="1001"/>
        </w:numPr>
        <w:pStyle w:val="Compact"/>
      </w:pPr>
      <w:r>
        <w:t xml:space="preserve">Post-commissioning warranty support for a period of twelve (12) months from the date of final acceptance.</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Senior Electronics Engineer – Design &amp; Development (PCB, Schematic, BOM)</w:t>
            </w:r>
          </w:p>
        </w:tc>
        <w:tc>
          <w:tcPr/>
          <w:p>
            <w:pPr>
              <w:pStyle w:val="Compact"/>
              <w:jc w:val="left"/>
            </w:pPr>
            <w:r>
              <w:t xml:space="preserve">45 working days</w:t>
            </w:r>
          </w:p>
        </w:tc>
        <w:tc>
          <w:tcPr/>
          <w:p>
            <w:pPr>
              <w:pStyle w:val="Compact"/>
              <w:jc w:val="left"/>
            </w:pPr>
            <w:r>
              <w:t xml:space="preserve">3,500,000 / day</w:t>
            </w:r>
          </w:p>
        </w:tc>
        <w:tc>
          <w:tcPr/>
          <w:p>
            <w:pPr>
              <w:pStyle w:val="Compact"/>
              <w:jc w:val="left"/>
            </w:pPr>
            <w:r>
              <w:t xml:space="preserve">157,500,000</w:t>
            </w:r>
          </w:p>
        </w:tc>
      </w:tr>
      <w:tr>
        <w:tc>
          <w:tcPr/>
          <w:p>
            <w:pPr>
              <w:pStyle w:val="Compact"/>
              <w:jc w:val="left"/>
            </w:pPr>
            <w:r>
              <w:t xml:space="preserve">2</w:t>
            </w:r>
          </w:p>
        </w:tc>
        <w:tc>
          <w:tcPr/>
          <w:p>
            <w:pPr>
              <w:pStyle w:val="Compact"/>
              <w:jc w:val="left"/>
            </w:pPr>
            <w:r>
              <w:t xml:space="preserve">Junior Electronics Engineer – Testing &amp; Calibration Support</w:t>
            </w:r>
          </w:p>
        </w:tc>
        <w:tc>
          <w:tcPr/>
          <w:p>
            <w:pPr>
              <w:pStyle w:val="Compact"/>
              <w:jc w:val="left"/>
            </w:pPr>
            <w:r>
              <w:t xml:space="preserve">30 working days</w:t>
            </w:r>
          </w:p>
        </w:tc>
        <w:tc>
          <w:tcPr/>
          <w:p>
            <w:pPr>
              <w:pStyle w:val="Compact"/>
              <w:jc w:val="left"/>
            </w:pPr>
            <w:r>
              <w:t xml:space="preserve">2,000,000 / day</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On-Site Installation &amp; Commissioning (Jakarta / Cileungsi site)</w:t>
            </w:r>
          </w:p>
        </w:tc>
        <w:tc>
          <w:tcPr/>
          <w:p>
            <w:pPr>
              <w:pStyle w:val="Compact"/>
              <w:jc w:val="left"/>
            </w:pPr>
            <w:r>
              <w:t xml:space="preserve">15 working days</w:t>
            </w:r>
          </w:p>
        </w:tc>
        <w:tc>
          <w:tcPr/>
          <w:p>
            <w:pPr>
              <w:pStyle w:val="Compact"/>
              <w:jc w:val="left"/>
            </w:pPr>
            <w:r>
              <w:t xml:space="preserve">4,500,000 / day</w:t>
            </w:r>
          </w:p>
        </w:tc>
        <w:tc>
          <w:tcPr/>
          <w:p>
            <w:pPr>
              <w:pStyle w:val="Compact"/>
              <w:jc w:val="left"/>
            </w:pPr>
            <w:r>
              <w:t xml:space="preserve">67,500,000</w:t>
            </w:r>
          </w:p>
        </w:tc>
      </w:tr>
      <w:tr>
        <w:tc>
          <w:tcPr/>
          <w:p>
            <w:pPr>
              <w:pStyle w:val="Compact"/>
              <w:jc w:val="left"/>
            </w:pPr>
            <w:r>
              <w:t xml:space="preserve">4</w:t>
            </w:r>
          </w:p>
        </w:tc>
        <w:tc>
          <w:tcPr/>
          <w:p>
            <w:pPr>
              <w:pStyle w:val="Compact"/>
              <w:jc w:val="left"/>
            </w:pPr>
            <w:r>
              <w:t xml:space="preserve">EMC &amp; SNI Compliance Testing (Laboratory fees included)</w:t>
            </w:r>
          </w:p>
        </w:tc>
        <w:tc>
          <w:tcPr/>
          <w:p>
            <w:pPr>
              <w:pStyle w:val="Compact"/>
              <w:jc w:val="left"/>
            </w:pPr>
            <w:r>
              <w:t xml:space="preserve">10 working days</w:t>
            </w:r>
          </w:p>
        </w:tc>
        <w:tc>
          <w:tcPr/>
          <w:p>
            <w:pPr>
              <w:pStyle w:val="Compact"/>
              <w:jc w:val="left"/>
            </w:pPr>
            <w:r>
              <w:t xml:space="preserve">5,000,000 / day</w:t>
            </w:r>
          </w:p>
        </w:tc>
        <w:tc>
          <w:tcPr/>
          <w:p>
            <w:pPr>
              <w:pStyle w:val="Compact"/>
              <w:jc w:val="left"/>
            </w:pPr>
            <w:r>
              <w:t xml:space="preserve">50,000,000</w:t>
            </w:r>
          </w:p>
        </w:tc>
      </w:tr>
      <w:tr>
        <w:tc>
          <w:tcPr/>
          <w:p>
            <w:pPr>
              <w:pStyle w:val="Compact"/>
              <w:jc w:val="left"/>
            </w:pPr>
            <w:r>
              <w:t xml:space="preserve">5</w:t>
            </w:r>
          </w:p>
        </w:tc>
        <w:tc>
          <w:tcPr/>
          <w:p>
            <w:pPr>
              <w:pStyle w:val="Compact"/>
              <w:jc w:val="left"/>
            </w:pPr>
            <w:r>
              <w:t xml:space="preserve">Technical Documentation &amp; Training (2 sessions, Bahasa Indonesia &amp; English)</w:t>
            </w:r>
          </w:p>
        </w:tc>
        <w:tc>
          <w:tcPr/>
          <w:p>
            <w:pPr>
              <w:pStyle w:val="Compact"/>
              <w:jc w:val="left"/>
            </w:pPr>
            <w:r>
              <w:t xml:space="preserve">5 working days</w:t>
            </w:r>
          </w:p>
        </w:tc>
        <w:tc>
          <w:tcPr/>
          <w:p>
            <w:pPr>
              <w:pStyle w:val="Compact"/>
              <w:jc w:val="left"/>
            </w:pPr>
            <w:r>
              <w:t xml:space="preserve">3,000,000 / day</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Travel, Accommodation &amp; Local Transportation within Indonesia Jakarta area</w:t>
            </w:r>
          </w:p>
        </w:tc>
        <w:tc>
          <w:tcPr/>
          <w:p>
            <w:pPr>
              <w:pStyle w:val="Compact"/>
              <w:jc w:val="left"/>
            </w:pPr>
            <w:r>
              <w:t xml:space="preserve">75 working days</w:t>
            </w:r>
          </w:p>
        </w:tc>
        <w:tc>
          <w:tcPr/>
          <w:p>
            <w:pPr>
              <w:pStyle w:val="Compact"/>
              <w:jc w:val="left"/>
            </w:pPr>
            <w:r>
              <w:t xml:space="preserve">800,000 / day</w:t>
            </w:r>
          </w:p>
        </w:tc>
        <w:tc>
          <w:tcPr/>
          <w:p>
            <w:pPr>
              <w:pStyle w:val="Compact"/>
              <w:jc w:val="left"/>
            </w:pPr>
            <w:r>
              <w:t xml:space="preserve">60,000,000</w:t>
            </w:r>
          </w:p>
        </w:tc>
      </w:tr>
      <w:tr>
        <w:tc>
          <w:tcPr/>
          <w:p>
            <w:pPr>
              <w:pStyle w:val="Compact"/>
              <w:jc w:val="left"/>
            </w:pPr>
            <w:r>
              <w:t xml:space="preserve">7</w:t>
            </w:r>
          </w:p>
        </w:tc>
        <w:tc>
          <w:tcPr/>
          <w:p>
            <w:pPr>
              <w:pStyle w:val="Compact"/>
              <w:jc w:val="left"/>
            </w:pPr>
            <w:r>
              <w:t xml:space="preserve">Post-Commissioning Warranty &amp; Technical Support (12 months)</w:t>
            </w:r>
          </w:p>
        </w:tc>
        <w:tc>
          <w:tcPr/>
          <w:p>
            <w:pPr>
              <w:pStyle w:val="Compact"/>
              <w:jc w:val="left"/>
            </w:pPr>
            <w:r>
              <w:t xml:space="preserve">12 months</w:t>
            </w:r>
          </w:p>
        </w:tc>
        <w:tc>
          <w:tcPr/>
          <w:p>
            <w:pPr>
              <w:pStyle w:val="Compact"/>
              <w:jc w:val="left"/>
            </w:pPr>
            <w:r>
              <w:t xml:space="preserve">Flat rate</w:t>
            </w:r>
          </w:p>
        </w:tc>
        <w:tc>
          <w:tcPr/>
          <w:p>
            <w:pPr>
              <w:pStyle w:val="Compact"/>
              <w:jc w:val="left"/>
            </w:pPr>
            <w:r>
              <w:t xml:space="preserve">45,000,000</w:t>
            </w:r>
          </w:p>
        </w:tc>
      </w:tr>
      <w:tr>
        <w:tc>
          <w:tcPr>
            <w:gridSpan w:val="4"/>
          </w:tcPr>
          <w:p>
            <w:pPr>
              <w:pStyle w:val="Compact"/>
              <w:jc w:val="right"/>
            </w:pPr>
            <w:r>
              <w:t xml:space="preserve">Subtotal (IDR)</w:t>
            </w:r>
          </w:p>
        </w:tc>
        <w:tc>
          <w:tcPr/>
          <w:p>
            <w:pPr>
              <w:pStyle w:val="Compact"/>
              <w:jc w:val="left"/>
            </w:pPr>
            <w:r>
              <w:t xml:space="preserve">455,000,000</w:t>
            </w:r>
          </w:p>
        </w:tc>
      </w:tr>
      <w:tr>
        <w:tc>
          <w:tcPr>
            <w:gridSpan w:val="4"/>
          </w:tcPr>
          <w:p>
            <w:pPr>
              <w:pStyle w:val="Compact"/>
              <w:jc w:val="right"/>
            </w:pPr>
            <w:r>
              <w:t xml:space="preserve">VAT 11% (PPN) – Indonesia</w:t>
            </w:r>
          </w:p>
        </w:tc>
        <w:tc>
          <w:tcPr/>
          <w:p>
            <w:pPr>
              <w:pStyle w:val="Compact"/>
              <w:jc w:val="left"/>
            </w:pPr>
            <w:r>
              <w:t xml:space="preserve">50,050,000</w:t>
            </w:r>
          </w:p>
        </w:tc>
      </w:tr>
      <w:tr>
        <w:tc>
          <w:tcPr>
            <w:gridSpan w:val="4"/>
          </w:tcPr>
          <w:p>
            <w:pPr>
              <w:pStyle w:val="Compact"/>
              <w:jc w:val="right"/>
            </w:pPr>
            <w:r>
              <w:rPr>
                <w:bCs/>
                <w:b/>
              </w:rPr>
              <w:t xml:space="preserve">GRAND TOTAL (IDR)</w:t>
            </w:r>
          </w:p>
        </w:tc>
        <w:tc>
          <w:tcPr/>
          <w:p>
            <w:pPr>
              <w:pStyle w:val="Compact"/>
              <w:jc w:val="left"/>
            </w:pPr>
            <w:r>
              <w:rPr>
                <w:bCs/>
                <w:b/>
              </w:rPr>
              <w:t xml:space="preserve">505,050,000</w:t>
            </w:r>
          </w:p>
        </w:tc>
      </w:tr>
    </w:tbl>
    <w:p>
      <w:pPr>
        <w:pStyle w:val="BodyText"/>
      </w:pPr>
      <w:r>
        <w:t xml:space="preserve">* All rates are quoted in Indonesian Rupiah (IDR). The grand total of IDR 505,050,000 (Five Hundred Five Million Fifty Thousand Rupiah) is inclusive of 11% Value Added Tax (PPN) as mandated by the Directorate General of Taxes, Republic of Indonesia.</w:t>
      </w:r>
    </w:p>
    <w:p>
      <w:pPr>
        <w:pStyle w:val="BodyText"/>
      </w:pPr>
      <w:r>
        <w:t xml:space="preserve">3. Payment Terms</w:t>
      </w:r>
    </w:p>
    <w:p>
      <w:pPr>
        <w:numPr>
          <w:ilvl w:val="0"/>
          <w:numId w:val="1002"/>
        </w:numPr>
        <w:pStyle w:val="Compact"/>
      </w:pPr>
      <w:r>
        <w:rPr>
          <w:bCs/>
          <w:b/>
        </w:rPr>
        <w:t xml:space="preserve">30% Advance Payment:</w:t>
      </w:r>
      <w:r>
        <w:t xml:space="preserve"> </w:t>
      </w:r>
      <w:r>
        <w:t xml:space="preserve">IDR 151,515,000 – Due upon signing of the Service Agreement and issuance of this Quotation Estimate acceptance.</w:t>
      </w:r>
    </w:p>
    <w:p>
      <w:pPr>
        <w:numPr>
          <w:ilvl w:val="0"/>
          <w:numId w:val="1002"/>
        </w:numPr>
        <w:pStyle w:val="Compact"/>
      </w:pPr>
      <w:r>
        <w:rPr>
          <w:bCs/>
          <w:b/>
        </w:rPr>
        <w:t xml:space="preserve">40% Progress Payment:</w:t>
      </w:r>
      <w:r>
        <w:t xml:space="preserve"> </w:t>
      </w:r>
      <w:r>
        <w:t xml:space="preserve">IDR 202,020,000 – Due upon completion of design, testing, and delivery of all technical documentation.</w:t>
      </w:r>
    </w:p>
    <w:p>
      <w:pPr>
        <w:numPr>
          <w:ilvl w:val="0"/>
          <w:numId w:val="1002"/>
        </w:numPr>
        <w:pStyle w:val="Compact"/>
      </w:pPr>
      <w:r>
        <w:rPr>
          <w:bCs/>
          <w:b/>
        </w:rPr>
        <w:t xml:space="preserve">30% Final Payment:</w:t>
      </w:r>
      <w:r>
        <w:t xml:space="preserve"> </w:t>
      </w:r>
      <w:r>
        <w:t xml:space="preserve">IDR 151,515,000 – Due upon successful commissioning, client sign-off, and handover at the Indonesia Jakarta project site.</w:t>
      </w:r>
    </w:p>
    <w:p>
      <w:pPr>
        <w:pStyle w:val="FirstParagraph"/>
      </w:pPr>
      <w:r>
        <w:t xml:space="preserve">Payments shall be made via bank transfer to the following account: Bank Mandiri, Account No. 137-00-0123456-7, a.n. PT Nusantara Electronics Solutions, Branch: Jakarta Sudirman.</w:t>
      </w:r>
    </w:p>
    <w:p>
      <w:pPr>
        <w:pStyle w:val="BodyText"/>
      </w:pPr>
      <w:r>
        <w:t xml:space="preserve">4. Terms and Conditions</w:t>
      </w:r>
    </w:p>
    <w:p>
      <w:pPr>
        <w:numPr>
          <w:ilvl w:val="0"/>
          <w:numId w:val="1003"/>
        </w:numPr>
        <w:pStyle w:val="Compact"/>
      </w:pPr>
      <w:r>
        <w:t xml:space="preserve">This Quotation Estimate is valid for thirty (30) calendar days from the date of issue. Beyond this period, pricing may be subject to revision due to market fluctuations in component costs and exchange rates.</w:t>
      </w:r>
    </w:p>
    <w:p>
      <w:pPr>
        <w:numPr>
          <w:ilvl w:val="0"/>
          <w:numId w:val="1003"/>
        </w:numPr>
        <w:pStyle w:val="Compact"/>
      </w:pPr>
      <w:r>
        <w:t xml:space="preserve">The Electronics Engineer team shall adhere to all applicable Indonesian labor laws, occupational health and safety regulations (K3), and site-specific safety protocols at the client's facility in Indonesia Jakarta.</w:t>
      </w:r>
    </w:p>
    <w:p>
      <w:pPr>
        <w:numPr>
          <w:ilvl w:val="0"/>
          <w:numId w:val="1003"/>
        </w:numPr>
        <w:pStyle w:val="Compact"/>
      </w:pPr>
      <w:r>
        <w:t xml:space="preserve">Any changes to the scope of work beyond what is described in Section 1 shall be subject to a separate change-order Quotation Estimate, agreed upon in writing by both parties before additional work commences.</w:t>
      </w:r>
    </w:p>
    <w:p>
      <w:pPr>
        <w:numPr>
          <w:ilvl w:val="0"/>
          <w:numId w:val="1003"/>
        </w:numPr>
        <w:pStyle w:val="Compact"/>
      </w:pPr>
      <w:r>
        <w:t xml:space="preserve">Intellectual property rights for all designs, schematics, and documentation produced under this engagement shall vest in the client upon full and final payment.</w:t>
      </w:r>
    </w:p>
    <w:p>
      <w:pPr>
        <w:numPr>
          <w:ilvl w:val="0"/>
          <w:numId w:val="1003"/>
        </w:numPr>
        <w:pStyle w:val="Compact"/>
      </w:pPr>
      <w:r>
        <w:t xml:space="preserve">Confidentiality: Both parties agree to maintain strict confidentiality of all proprietary information exchanged during the course of this project, in accordance with Indonesian Law No. 14 of 2008 on Personal Data Protection.</w:t>
      </w:r>
    </w:p>
    <w:p>
      <w:pPr>
        <w:numPr>
          <w:ilvl w:val="0"/>
          <w:numId w:val="1003"/>
        </w:numPr>
        <w:pStyle w:val="Compact"/>
      </w:pPr>
      <w:r>
        <w:t xml:space="preserve">Force Majeure: Neither party shall be liable for delays or failures in performance resulting from events beyond reasonable control, including but not limited to natural disasters, government regulations, or pandemics affecting operations in Indonesia Jakarta.</w:t>
      </w:r>
    </w:p>
    <w:p>
      <w:pPr>
        <w:numPr>
          <w:ilvl w:val="0"/>
          <w:numId w:val="1003"/>
        </w:numPr>
        <w:pStyle w:val="Compact"/>
      </w:pPr>
      <w:r>
        <w:t xml:space="preserve">Dispute resolution shall be governed by the laws of the Republic of Indonesia and, if necessary, referred to the Jakarta District Court (Pengadilan Negeri Jakarta Selatan).</w:t>
      </w:r>
    </w:p>
    <w:p>
      <w:pPr>
        <w:pStyle w:val="FirstParagraph"/>
      </w:pPr>
      <w:r>
        <w:t xml:space="preserve">5.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Requirements gathering, site survey in Indonesia Jakarta, and design initiation</w:t>
            </w:r>
          </w:p>
        </w:tc>
        <w:tc>
          <w:tcPr/>
          <w:p>
            <w:pPr>
              <w:pStyle w:val="Compact"/>
              <w:jc w:val="left"/>
            </w:pPr>
            <w:r>
              <w:t xml:space="preserve">Weeks 1 – 3</w:t>
            </w:r>
          </w:p>
        </w:tc>
      </w:tr>
      <w:tr>
        <w:tc>
          <w:tcPr/>
          <w:p>
            <w:pPr>
              <w:pStyle w:val="Compact"/>
              <w:jc w:val="left"/>
            </w:pPr>
            <w:r>
              <w:t xml:space="preserve">Phase 2</w:t>
            </w:r>
          </w:p>
        </w:tc>
        <w:tc>
          <w:tcPr/>
          <w:p>
            <w:pPr>
              <w:pStyle w:val="Compact"/>
              <w:jc w:val="left"/>
            </w:pPr>
            <w:r>
              <w:t xml:space="preserve">Electronics Engineer design, simulation, and prototype fabrication</w:t>
            </w:r>
          </w:p>
        </w:tc>
        <w:tc>
          <w:tcPr/>
          <w:p>
            <w:pPr>
              <w:pStyle w:val="Compact"/>
              <w:jc w:val="left"/>
            </w:pPr>
            <w:r>
              <w:t xml:space="preserve">Weeks 4 – 9</w:t>
            </w:r>
          </w:p>
        </w:tc>
      </w:tr>
      <w:tr>
        <w:tc>
          <w:tcPr/>
          <w:p>
            <w:pPr>
              <w:pStyle w:val="Compact"/>
              <w:jc w:val="left"/>
            </w:pPr>
            <w:r>
              <w:t xml:space="preserve">Phase 3</w:t>
            </w:r>
          </w:p>
        </w:tc>
        <w:tc>
          <w:tcPr/>
          <w:p>
            <w:pPr>
              <w:pStyle w:val="Compact"/>
              <w:jc w:val="left"/>
            </w:pPr>
            <w:r>
              <w:t xml:space="preserve">Testing, EMC verification, and SNI compliance certification</w:t>
            </w:r>
          </w:p>
        </w:tc>
        <w:tc>
          <w:tcPr/>
          <w:p>
            <w:pPr>
              <w:pStyle w:val="Compact"/>
              <w:jc w:val="left"/>
            </w:pPr>
            <w:r>
              <w:t xml:space="preserve">Weeks 10 – 12</w:t>
            </w:r>
          </w:p>
        </w:tc>
      </w:tr>
      <w:tr>
        <w:tc>
          <w:tcPr/>
          <w:p>
            <w:pPr>
              <w:pStyle w:val="Compact"/>
              <w:jc w:val="left"/>
            </w:pPr>
            <w:r>
              <w:t xml:space="preserve">Phase 4</w:t>
            </w:r>
          </w:p>
        </w:tc>
        <w:tc>
          <w:tcPr/>
          <w:p>
            <w:pPr>
              <w:pStyle w:val="Compact"/>
              <w:jc w:val="left"/>
            </w:pPr>
            <w:r>
              <w:t xml:space="preserve">On-site installation, commissioning, and training at client facility</w:t>
            </w:r>
          </w:p>
        </w:tc>
        <w:tc>
          <w:tcPr/>
          <w:p>
            <w:pPr>
              <w:pStyle w:val="Compact"/>
              <w:jc w:val="left"/>
            </w:pPr>
            <w:r>
              <w:t xml:space="preserve">Weeks 13 – 15</w:t>
            </w:r>
          </w:p>
        </w:tc>
      </w:tr>
      <w:tr>
        <w:tc>
          <w:tcPr/>
          <w:p>
            <w:pPr>
              <w:pStyle w:val="Compact"/>
              <w:jc w:val="left"/>
            </w:pPr>
            <w:r>
              <w:t xml:space="preserve">Phase 5</w:t>
            </w:r>
          </w:p>
        </w:tc>
        <w:tc>
          <w:tcPr/>
          <w:p>
            <w:pPr>
              <w:pStyle w:val="Compact"/>
              <w:jc w:val="left"/>
            </w:pPr>
            <w:r>
              <w:t xml:space="preserve">Final documentation handover, acceptance, and warranty commencement</w:t>
            </w:r>
          </w:p>
        </w:tc>
        <w:tc>
          <w:tcPr/>
          <w:p>
            <w:pPr>
              <w:pStyle w:val="Compact"/>
              <w:jc w:val="left"/>
            </w:pPr>
            <w:r>
              <w:t xml:space="preserve">Week 16</w:t>
            </w:r>
          </w:p>
        </w:tc>
      </w:tr>
    </w:tbl>
    <w:p>
      <w:pPr>
        <w:pStyle w:val="BodyText"/>
      </w:pPr>
      <w:r>
        <w:rPr>
          <w:bCs/>
          <w:b/>
        </w:rPr>
        <w:t xml:space="preserve">Prepared By (PT Nusantara Electronics Solutions)</w:t>
      </w:r>
    </w:p>
    <w:p>
      <w:pPr>
        <w:pStyle w:val="BodyText"/>
      </w:pPr>
      <w:r>
        <w:t xml:space="preserve">Dr. Sari Kusuma, M.Eng.</w:t>
      </w:r>
    </w:p>
    <w:p>
      <w:pPr>
        <w:pStyle w:val="BodyText"/>
      </w:pPr>
      <w:r>
        <w:t xml:space="preserve">Lead Electronics Engineer &amp; Project Director</w:t>
      </w:r>
    </w:p>
    <w:p>
      <w:pPr>
        <w:pStyle w:val="BodyText"/>
      </w:pPr>
      <w:r>
        <w:t xml:space="preserve">Signature &amp; Company Stamp</w:t>
      </w:r>
    </w:p>
    <w:p>
      <w:pPr>
        <w:pStyle w:val="BodyText"/>
      </w:pPr>
      <w:r>
        <w:rPr>
          <w:bCs/>
          <w:b/>
        </w:rPr>
        <w:t xml:space="preserve">Accepted By (PT Maju Industri Teknologi)</w:t>
      </w:r>
    </w:p>
    <w:p>
      <w:pPr>
        <w:pStyle w:val="BodyText"/>
      </w:pPr>
      <w:r>
        <w:t xml:space="preserve">Mr. Hendra Wijaya</w:t>
      </w:r>
    </w:p>
    <w:p>
      <w:pPr>
        <w:pStyle w:val="BodyText"/>
      </w:pPr>
      <w:r>
        <w:t xml:space="preserve">Procurement Manager</w:t>
      </w:r>
    </w:p>
    <w:p>
      <w:pPr>
        <w:pStyle w:val="BodyText"/>
      </w:pPr>
      <w:r>
        <w:t xml:space="preserve">Signature &amp; Company Stamp</w:t>
      </w:r>
    </w:p>
    <w:p>
      <w:pPr>
        <w:pStyle w:val="BodyText"/>
      </w:pPr>
      <w:r>
        <w:t xml:space="preserve">This Quotation Estimate document is issued by PT Nusantara Electronics Solutions for the provision of Electronics Engineer services in Indonesia Jakarta. This document is confidential and intended solely for the named recipient. Unauthorized reproduction or distribution is prohibited. Quotation No. QTE/JKT/2025/00472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Indonesia Jakarta</dc:title>
  <dc:creator/>
  <dc:language>en</dc:language>
  <cp:keywords/>
  <dcterms:created xsi:type="dcterms:W3CDTF">2026-10-10T02:09:19Z</dcterms:created>
  <dcterms:modified xsi:type="dcterms:W3CDTF">2026-10-10T02:09:19Z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