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Meridian Electronics Engineering Solutions Ltd.</w:t>
      </w:r>
    </w:p>
    <w:p>
      <w:pPr>
        <w:pStyle w:val="BodyText"/>
      </w:pPr>
      <w:r>
        <w:t xml:space="preserve">145 Allenby Street, Tel Aviv-Yafo, Israel 6610700</w:t>
      </w:r>
    </w:p>
    <w:p>
      <w:pPr>
        <w:pStyle w:val="BodyText"/>
      </w:pPr>
      <w:r>
        <w:t xml:space="preserve">Tel: +972-3-555-0142 | Email: quotes@meridian-electronics.co.il</w:t>
      </w:r>
    </w:p>
    <w:p>
      <w:pPr>
        <w:pStyle w:val="BodyText"/>
      </w:pPr>
      <w:r>
        <w:t xml:space="preserve">VAT No. 51-234-567-8 | License: IE-2024-0891</w:t>
      </w:r>
    </w:p>
    <w:bookmarkEnd w:id="20"/>
    <w:p>
      <w:pPr>
        <w:pStyle w:val="BodyText"/>
      </w:pPr>
      <w:r>
        <w:rPr>
          <w:bCs/>
          <w:b/>
        </w:rPr>
        <w:t xml:space="preserve">Quotation No.:</w:t>
      </w:r>
      <w:r>
        <w:t xml:space="preserve"> </w:t>
      </w:r>
      <w:r>
        <w:t xml:space="preserve">QTE-2025-TLV-0347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r>
        <w:t xml:space="preserve"> </w:t>
      </w:r>
      <w:r>
        <w:t xml:space="preserve">[Client Name / Company]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Meridian Electronics Engineering Solutions Ltd., a registered professional firm operating in</w:t>
      </w:r>
      <w:r>
        <w:t xml:space="preserve"> </w:t>
      </w:r>
      <w:r>
        <w:t xml:space="preserve">Israel Tel Aviv</w:t>
      </w:r>
      <w:r>
        <w:t xml:space="preserve">, to provide a comprehensive and transparent breakdown of costs associated with the engagement of a senior</w:t>
      </w:r>
      <w:r>
        <w:t xml:space="preserve"> </w:t>
      </w:r>
      <w:r>
        <w:t xml:space="preserve">Electronics Engineer</w:t>
      </w:r>
      <w:r>
        <w:t xml:space="preserve"> </w:t>
      </w:r>
      <w:r>
        <w:t xml:space="preserve">for the client's specified project requirements. This document serves as a binding financial proposal and outlines the scope of professional services, applicable rates, project timelines, and all associated terms governing the engagement. The</w:t>
      </w:r>
      <w:r>
        <w:t xml:space="preserve"> </w:t>
      </w:r>
      <w:r>
        <w:t xml:space="preserve">Quotation Estimate</w:t>
      </w:r>
      <w:r>
        <w:t xml:space="preserve"> </w:t>
      </w:r>
      <w:r>
        <w:t xml:space="preserve">has been prepared in accordance with the standards set forth by the Israel Engineers Association and complies with all applicable regulations of the State of Israel.</w:t>
      </w:r>
    </w:p>
    <w:bookmarkEnd w:id="21"/>
    <w:bookmarkStart w:id="22" w:name="Xce9aff7ffa04d24451c82397c572431a259204e"/>
    <w:p>
      <w:pPr>
        <w:pStyle w:val="Heading2"/>
      </w:pPr>
      <w:r>
        <w:t xml:space="preserve">2. Scope of Services – Electronics Engineer Engagement</w:t>
      </w:r>
    </w:p>
    <w:p>
      <w:pPr>
        <w:pStyle w:val="FirstParagraph"/>
      </w:pPr>
      <w:r>
        <w:t xml:space="preserve">The</w:t>
      </w:r>
      <w:r>
        <w:t xml:space="preserve"> </w:t>
      </w:r>
      <w:r>
        <w:t xml:space="preserve">Electronics Engineer</w:t>
      </w:r>
      <w:r>
        <w:t xml:space="preserve"> </w:t>
      </w:r>
      <w:r>
        <w:t xml:space="preserve">assigned to this project will deliver the following professional services within the</w:t>
      </w:r>
      <w:r>
        <w:t xml:space="preserve"> </w:t>
      </w:r>
      <w:r>
        <w:t xml:space="preserve">Israel Tel Aviv</w:t>
      </w:r>
      <w:r>
        <w:t xml:space="preserve"> </w:t>
      </w:r>
      <w:r>
        <w:t xml:space="preserve">metropolitan area and surrounding regions as required: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Initial site assessment and circuit diagnostics at the client's facility in Tel Aviv</w:t>
            </w:r>
          </w:p>
        </w:tc>
        <w:tc>
          <w:tcPr/>
          <w:p>
            <w:pPr>
              <w:pStyle w:val="Compact"/>
              <w:jc w:val="left"/>
            </w:pPr>
            <w:r>
              <w:t xml:space="preserve">1 day</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2</w:t>
            </w:r>
          </w:p>
        </w:tc>
        <w:tc>
          <w:tcPr/>
          <w:p>
            <w:pPr>
              <w:pStyle w:val="Compact"/>
              <w:jc w:val="left"/>
            </w:pPr>
            <w:r>
              <w:t xml:space="preserve">Design and schematic development of custom PCB assemblies (up to 4-layer boards)</w:t>
            </w:r>
          </w:p>
        </w:tc>
        <w:tc>
          <w:tcPr/>
          <w:p>
            <w:pPr>
              <w:pStyle w:val="Compact"/>
              <w:jc w:val="left"/>
            </w:pPr>
            <w:r>
              <w:t xml:space="preserve">40 hours</w:t>
            </w:r>
          </w:p>
        </w:tc>
        <w:tc>
          <w:tcPr/>
          <w:p>
            <w:pPr>
              <w:pStyle w:val="Compact"/>
              <w:jc w:val="left"/>
            </w:pPr>
            <w:r>
              <w:t xml:space="preserve">450</w:t>
            </w:r>
          </w:p>
        </w:tc>
        <w:tc>
          <w:tcPr/>
          <w:p>
            <w:pPr>
              <w:pStyle w:val="Compact"/>
              <w:jc w:val="left"/>
            </w:pPr>
            <w:r>
              <w:t xml:space="preserve">18,000</w:t>
            </w:r>
          </w:p>
        </w:tc>
      </w:tr>
      <w:tr>
        <w:tc>
          <w:tcPr/>
          <w:p>
            <w:pPr>
              <w:pStyle w:val="Compact"/>
              <w:jc w:val="left"/>
            </w:pPr>
            <w:r>
              <w:t xml:space="preserve">3</w:t>
            </w:r>
          </w:p>
        </w:tc>
        <w:tc>
          <w:tcPr/>
          <w:p>
            <w:pPr>
              <w:pStyle w:val="Compact"/>
              <w:jc w:val="left"/>
            </w:pPr>
            <w:r>
              <w:t xml:space="preserve">Component selection, procurement coordination, and BOM preparation</w:t>
            </w:r>
          </w:p>
        </w:tc>
        <w:tc>
          <w:tcPr/>
          <w:p>
            <w:pPr>
              <w:pStyle w:val="Compact"/>
              <w:jc w:val="left"/>
            </w:pPr>
            <w:r>
              <w:t xml:space="preserve">16 hours</w:t>
            </w:r>
          </w:p>
        </w:tc>
        <w:tc>
          <w:tcPr/>
          <w:p>
            <w:pPr>
              <w:pStyle w:val="Compact"/>
              <w:jc w:val="left"/>
            </w:pPr>
            <w:r>
              <w:t xml:space="preserve">450</w:t>
            </w:r>
          </w:p>
        </w:tc>
        <w:tc>
          <w:tcPr/>
          <w:p>
            <w:pPr>
              <w:pStyle w:val="Compact"/>
              <w:jc w:val="left"/>
            </w:pPr>
            <w:r>
              <w:t xml:space="preserve">7,200</w:t>
            </w:r>
          </w:p>
        </w:tc>
      </w:tr>
      <w:tr>
        <w:tc>
          <w:tcPr/>
          <w:p>
            <w:pPr>
              <w:pStyle w:val="Compact"/>
              <w:jc w:val="left"/>
            </w:pPr>
            <w:r>
              <w:t xml:space="preserve">4</w:t>
            </w:r>
          </w:p>
        </w:tc>
        <w:tc>
          <w:tcPr/>
          <w:p>
            <w:pPr>
              <w:pStyle w:val="Compact"/>
              <w:jc w:val="left"/>
            </w:pPr>
            <w:r>
              <w:t xml:space="preserve">Prototype fabrication supervision and functional testing</w:t>
            </w:r>
          </w:p>
        </w:tc>
        <w:tc>
          <w:tcPr/>
          <w:p>
            <w:pPr>
              <w:pStyle w:val="Compact"/>
              <w:jc w:val="left"/>
            </w:pPr>
            <w:r>
              <w:t xml:space="preserve">24 hours</w:t>
            </w:r>
          </w:p>
        </w:tc>
        <w:tc>
          <w:tcPr/>
          <w:p>
            <w:pPr>
              <w:pStyle w:val="Compact"/>
              <w:jc w:val="left"/>
            </w:pPr>
            <w:r>
              <w:t xml:space="preserve">480</w:t>
            </w:r>
          </w:p>
        </w:tc>
        <w:tc>
          <w:tcPr/>
          <w:p>
            <w:pPr>
              <w:pStyle w:val="Compact"/>
              <w:jc w:val="left"/>
            </w:pPr>
            <w:r>
              <w:t xml:space="preserve">11,520</w:t>
            </w:r>
          </w:p>
        </w:tc>
      </w:tr>
      <w:tr>
        <w:tc>
          <w:tcPr/>
          <w:p>
            <w:pPr>
              <w:pStyle w:val="Compact"/>
              <w:jc w:val="left"/>
            </w:pPr>
            <w:r>
              <w:t xml:space="preserve">5</w:t>
            </w:r>
          </w:p>
        </w:tc>
        <w:tc>
          <w:tcPr/>
          <w:p>
            <w:pPr>
              <w:pStyle w:val="Compact"/>
              <w:jc w:val="left"/>
            </w:pPr>
            <w:r>
              <w:t xml:space="preserve">EMC/EMI compliance testing and certification support (IEC 61000 series)</w:t>
            </w:r>
          </w:p>
        </w:tc>
        <w:tc>
          <w:tcPr/>
          <w:p>
            <w:pPr>
              <w:pStyle w:val="Compact"/>
              <w:jc w:val="left"/>
            </w:pPr>
            <w:r>
              <w:t xml:space="preserve">12 hours</w:t>
            </w:r>
          </w:p>
        </w:tc>
        <w:tc>
          <w:tcPr/>
          <w:p>
            <w:pPr>
              <w:pStyle w:val="Compact"/>
              <w:jc w:val="left"/>
            </w:pPr>
            <w:r>
              <w:t xml:space="preserve">520</w:t>
            </w:r>
          </w:p>
        </w:tc>
        <w:tc>
          <w:tcPr/>
          <w:p>
            <w:pPr>
              <w:pStyle w:val="Compact"/>
              <w:jc w:val="left"/>
            </w:pPr>
            <w:r>
              <w:t xml:space="preserve">6,240</w:t>
            </w:r>
          </w:p>
        </w:tc>
      </w:tr>
      <w:tr>
        <w:tc>
          <w:tcPr/>
          <w:p>
            <w:pPr>
              <w:pStyle w:val="Compact"/>
              <w:jc w:val="left"/>
            </w:pPr>
            <w:r>
              <w:t xml:space="preserve">6</w:t>
            </w:r>
          </w:p>
        </w:tc>
        <w:tc>
          <w:tcPr/>
          <w:p>
            <w:pPr>
              <w:pStyle w:val="Compact"/>
              <w:jc w:val="left"/>
            </w:pPr>
            <w:r>
              <w:t xml:space="preserve">Technical documentation, user manuals, and as-built drawings</w:t>
            </w:r>
          </w:p>
        </w:tc>
        <w:tc>
          <w:tcPr/>
          <w:p>
            <w:pPr>
              <w:pStyle w:val="Compact"/>
              <w:jc w:val="left"/>
            </w:pPr>
            <w:r>
              <w:t xml:space="preserve">20 hours</w:t>
            </w:r>
          </w:p>
        </w:tc>
        <w:tc>
          <w:tcPr/>
          <w:p>
            <w:pPr>
              <w:pStyle w:val="Compact"/>
              <w:jc w:val="left"/>
            </w:pPr>
            <w:r>
              <w:t xml:space="preserve">400</w:t>
            </w:r>
          </w:p>
        </w:tc>
        <w:tc>
          <w:tcPr/>
          <w:p>
            <w:pPr>
              <w:pStyle w:val="Compact"/>
              <w:jc w:val="left"/>
            </w:pPr>
            <w:r>
              <w:t xml:space="preserve">8,000</w:t>
            </w:r>
          </w:p>
        </w:tc>
      </w:tr>
      <w:tr>
        <w:tc>
          <w:tcPr/>
          <w:p>
            <w:pPr>
              <w:pStyle w:val="Compact"/>
              <w:jc w:val="left"/>
            </w:pPr>
            <w:r>
              <w:t xml:space="preserve">7</w:t>
            </w:r>
          </w:p>
        </w:tc>
        <w:tc>
          <w:tcPr/>
          <w:p>
            <w:pPr>
              <w:pStyle w:val="Compact"/>
              <w:jc w:val="left"/>
            </w:pPr>
            <w:r>
              <w:t xml:space="preserve">Ongoing technical support and maintenance consultation (3-month period)</w:t>
            </w:r>
          </w:p>
        </w:tc>
        <w:tc>
          <w:tcPr/>
          <w:p>
            <w:pPr>
              <w:pStyle w:val="Compact"/>
              <w:jc w:val="left"/>
            </w:pPr>
            <w:r>
              <w:t xml:space="preserve">3 months</w:t>
            </w:r>
          </w:p>
        </w:tc>
        <w:tc>
          <w:tcPr/>
          <w:p>
            <w:pPr>
              <w:pStyle w:val="Compact"/>
              <w:jc w:val="left"/>
            </w:pPr>
            <w:r>
              <w:t xml:space="preserve">2,800/mo</w:t>
            </w:r>
          </w:p>
        </w:tc>
        <w:tc>
          <w:tcPr/>
          <w:p>
            <w:pPr>
              <w:pStyle w:val="Compact"/>
              <w:jc w:val="left"/>
            </w:pPr>
            <w:r>
              <w:t xml:space="preserve">8,400</w:t>
            </w:r>
          </w:p>
        </w:tc>
      </w:tr>
      <w:tr>
        <w:tc>
          <w:tcPr/>
          <w:p>
            <w:pPr>
              <w:pStyle w:val="Compact"/>
              <w:jc w:val="left"/>
            </w:pPr>
            <w:r>
              <w:t xml:space="preserve">8</w:t>
            </w:r>
          </w:p>
        </w:tc>
        <w:tc>
          <w:tcPr/>
          <w:p>
            <w:pPr>
              <w:pStyle w:val="Compact"/>
              <w:jc w:val="left"/>
            </w:pPr>
            <w:r>
              <w:t xml:space="preserve">Travel and on-site visits within Tel Aviv and central Israel</w:t>
            </w:r>
          </w:p>
        </w:tc>
        <w:tc>
          <w:tcPr/>
          <w:p>
            <w:pPr>
              <w:pStyle w:val="Compact"/>
              <w:jc w:val="left"/>
            </w:pPr>
            <w:r>
              <w:t xml:space="preserve">8 visits</w:t>
            </w:r>
          </w:p>
        </w:tc>
        <w:tc>
          <w:tcPr/>
          <w:p>
            <w:pPr>
              <w:pStyle w:val="Compact"/>
              <w:jc w:val="left"/>
            </w:pPr>
            <w:r>
              <w:t xml:space="preserve">350</w:t>
            </w:r>
          </w:p>
        </w:tc>
        <w:tc>
          <w:tcPr/>
          <w:p>
            <w:pPr>
              <w:pStyle w:val="Compact"/>
              <w:jc w:val="left"/>
            </w:pPr>
            <w:r>
              <w:t xml:space="preserve">2,800</w:t>
            </w:r>
          </w:p>
        </w:tc>
      </w:tr>
      <w:tr>
        <w:tc>
          <w:tcPr>
            <w:gridSpan w:val="4"/>
          </w:tcPr>
          <w:p>
            <w:pPr>
              <w:pStyle w:val="Compact"/>
              <w:jc w:val="right"/>
            </w:pPr>
            <w:r>
              <w:t xml:space="preserve">Subtotal (excl. VAT):</w:t>
            </w:r>
          </w:p>
        </w:tc>
        <w:tc>
          <w:tcPr/>
          <w:p>
            <w:pPr>
              <w:pStyle w:val="Compact"/>
              <w:jc w:val="left"/>
            </w:pPr>
            <w:r>
              <w:t xml:space="preserve">65,360</w:t>
            </w:r>
          </w:p>
        </w:tc>
      </w:tr>
      <w:tr>
        <w:tc>
          <w:tcPr>
            <w:gridSpan w:val="4"/>
          </w:tcPr>
          <w:p>
            <w:pPr>
              <w:pStyle w:val="Compact"/>
              <w:jc w:val="right"/>
            </w:pPr>
            <w:r>
              <w:t xml:space="preserve">VAT (18%):</w:t>
            </w:r>
          </w:p>
        </w:tc>
        <w:tc>
          <w:tcPr/>
          <w:p>
            <w:pPr>
              <w:pStyle w:val="Compact"/>
              <w:jc w:val="left"/>
            </w:pPr>
            <w:r>
              <w:t xml:space="preserve">11,765</w:t>
            </w:r>
          </w:p>
        </w:tc>
      </w:tr>
      <w:tr>
        <w:tc>
          <w:tcPr>
            <w:gridSpan w:val="4"/>
          </w:tcPr>
          <w:p>
            <w:pPr>
              <w:pStyle w:val="Compact"/>
              <w:jc w:val="right"/>
            </w:pPr>
            <w:r>
              <w:t xml:space="preserve">Grand Total (incl. VAT):</w:t>
            </w:r>
          </w:p>
        </w:tc>
        <w:tc>
          <w:tcPr/>
          <w:p>
            <w:pPr>
              <w:pStyle w:val="Compact"/>
              <w:jc w:val="left"/>
            </w:pPr>
            <w:r>
              <w:t xml:space="preserve">77,125</w:t>
            </w:r>
          </w:p>
        </w:tc>
      </w:tr>
    </w:tbl>
    <w:bookmarkEnd w:id="22"/>
    <w:bookmarkStart w:id="23" w:name="project-timeline-and-milestones"/>
    <w:p>
      <w:pPr>
        <w:pStyle w:val="Heading2"/>
      </w:pPr>
      <w:r>
        <w:t xml:space="preserve">3. Project Timeline and Milestones</w:t>
      </w:r>
    </w:p>
    <w:p>
      <w:pPr>
        <w:pStyle w:val="FirstParagraph"/>
      </w:pPr>
      <w:r>
        <w:t xml:space="preserve">The</w:t>
      </w:r>
      <w:r>
        <w:t xml:space="preserve"> </w:t>
      </w:r>
      <w:r>
        <w:t xml:space="preserve">Electronics Engineer</w:t>
      </w:r>
      <w:r>
        <w:t xml:space="preserve"> </w:t>
      </w:r>
      <w:r>
        <w:t xml:space="preserve">will execute the project in phases over an estimated period of 14 weeks from the date of contract execution. Key milestones include: completion of the initial assessment within Week 1, delivery of schematic designs by Week 4, prototype readiness by Week 8, EMC compliance sign-off by Week 11, and final documentation delivery by Week 14. All on-site work will be conducted at the client's premises in</w:t>
      </w:r>
      <w:r>
        <w:t xml:space="preserve"> </w:t>
      </w:r>
      <w:r>
        <w:t xml:space="preserve">Israel Tel Aviv</w:t>
      </w:r>
      <w:r>
        <w:t xml:space="preserve"> </w:t>
      </w:r>
      <w:r>
        <w:t xml:space="preserve">or at our engineering laboratory located in the Ramat Gan industrial zone, subject to mutual agreement.</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90 calendar days from the date of issue. Beyond this period, all rates and availability are subject to revision.</w:t>
      </w:r>
    </w:p>
    <w:p>
      <w:pPr>
        <w:numPr>
          <w:ilvl w:val="0"/>
          <w:numId w:val="1001"/>
        </w:numPr>
        <w:pStyle w:val="Compact"/>
      </w:pPr>
      <w:r>
        <w:t xml:space="preserve">Payment terms: 30% advance upon contract signing, 40% upon prototype delivery, and 30% upon final acceptance and documentation handover. All payments are due within 14 days of invoice date.</w:t>
      </w:r>
    </w:p>
    <w:p>
      <w:pPr>
        <w:numPr>
          <w:ilvl w:val="0"/>
          <w:numId w:val="1001"/>
        </w:numPr>
        <w:pStyle w:val="Compact"/>
      </w:pPr>
      <w:r>
        <w:t xml:space="preserve">All work performed by the</w:t>
      </w:r>
      <w:r>
        <w:t xml:space="preserve"> </w:t>
      </w:r>
      <w:r>
        <w:t xml:space="preserve">Electronics Engineer</w:t>
      </w:r>
      <w:r>
        <w:t xml:space="preserve"> </w:t>
      </w:r>
      <w:r>
        <w:t xml:space="preserve">shall comply with Israeli Standards (SII), IEC international standards, and applicable EU directives where the end product is intended for export.</w:t>
      </w:r>
    </w:p>
    <w:p>
      <w:pPr>
        <w:numPr>
          <w:ilvl w:val="0"/>
          <w:numId w:val="1001"/>
        </w:numPr>
        <w:pStyle w:val="Compact"/>
      </w:pPr>
      <w:r>
        <w:t xml:space="preserve">The client agrees to provide timely access to facilities, existing documentation, and any third-party approvals required for the project to proceed without delay.</w:t>
      </w:r>
    </w:p>
    <w:p>
      <w:pPr>
        <w:numPr>
          <w:ilvl w:val="0"/>
          <w:numId w:val="1001"/>
        </w:numPr>
        <w:pStyle w:val="Compact"/>
      </w:pPr>
      <w:r>
        <w:t xml:space="preserve">Intellectual property generated specifically for the client under this engagement shall transfer to the client upon full payment. Pre-existing methodologies, libraries, and tools remain the property of Meridian Electronics Engineering Solutions Ltd.</w:t>
      </w:r>
    </w:p>
    <w:p>
      <w:pPr>
        <w:numPr>
          <w:ilvl w:val="0"/>
          <w:numId w:val="1001"/>
        </w:numPr>
        <w:pStyle w:val="Compact"/>
      </w:pPr>
      <w:r>
        <w:t xml:space="preserve">Any scope changes or additional services beyond the original</w:t>
      </w:r>
      <w:r>
        <w:t xml:space="preserve"> </w:t>
      </w:r>
      <w:r>
        <w:t xml:space="preserve">Quotation Estimate</w:t>
      </w:r>
      <w:r>
        <w:t xml:space="preserve"> </w:t>
      </w:r>
      <w:r>
        <w:t xml:space="preserve">will be documented in a formal Change Order and require written approval from both parties before execution.</w:t>
      </w:r>
    </w:p>
    <w:p>
      <w:pPr>
        <w:numPr>
          <w:ilvl w:val="0"/>
          <w:numId w:val="1001"/>
        </w:numPr>
        <w:pStyle w:val="Compact"/>
      </w:pPr>
      <w:r>
        <w:t xml:space="preserve">Disputes arising from this engagement shall be resolved through mediation in</w:t>
      </w:r>
      <w:r>
        <w:t xml:space="preserve"> </w:t>
      </w:r>
      <w:r>
        <w:t xml:space="preserve">Israel Tel Aviv</w:t>
      </w:r>
      <w:r>
        <w:t xml:space="preserve"> </w:t>
      </w:r>
      <w:r>
        <w:t xml:space="preserve">in accordance with the laws of the State of Israel.</w:t>
      </w:r>
    </w:p>
    <w:p>
      <w:pPr>
        <w:numPr>
          <w:ilvl w:val="0"/>
          <w:numId w:val="1001"/>
        </w:numPr>
        <w:pStyle w:val="Compact"/>
      </w:pPr>
      <w:r>
        <w:t xml:space="preserve">The</w:t>
      </w:r>
      <w:r>
        <w:t xml:space="preserve"> </w:t>
      </w:r>
      <w:r>
        <w:t xml:space="preserve">Electronics Engineer</w:t>
      </w:r>
      <w:r>
        <w:t xml:space="preserve"> </w:t>
      </w:r>
      <w:r>
        <w:t xml:space="preserve">is fully insured under professional liability coverage (minimum 5,000,000 ILS) and workers' compensation as required by Israeli labor law.</w:t>
      </w:r>
    </w:p>
    <w:p>
      <w:pPr>
        <w:pStyle w:val="FirstParagraph"/>
      </w:pPr>
      <w:r>
        <w:rPr>
          <w:bCs/>
          <w:b/>
        </w:rPr>
        <w:t xml:space="preserve">Note:</w:t>
      </w:r>
      <w:r>
        <w:t xml:space="preserve"> </w:t>
      </w:r>
      <w:r>
        <w:t xml:space="preserve">This Quotation Estimate does not include the cost of physical components, raw materials, or third-party laboratory testing fees unless explicitly stated. The client will be responsible for procuring all electronic components listed in the Bill of Materials, or may authorize our firm to procure on their behalf at cost plus a 5% handling surcharge.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Electronics Engineer</w:t>
      </w:r>
      <w:r>
        <w:t xml:space="preserve"> </w:t>
      </w:r>
      <w:r>
        <w:t xml:space="preserve">in</w:t>
      </w:r>
      <w:r>
        <w:t xml:space="preserve"> </w:t>
      </w:r>
      <w:r>
        <w:t xml:space="preserve">Israel Tel Aviv</w:t>
      </w:r>
      <w:r>
        <w:t xml:space="preserve">. This document, once countersigned by both parties, constitutes a binding service agreement.</w:t>
      </w:r>
    </w:p>
    <w:p>
      <w:pPr>
        <w:pStyle w:val="BodyText"/>
      </w:pPr>
      <w:r>
        <w:rPr>
          <w:bCs/>
          <w:b/>
        </w:rPr>
        <w:t xml:space="preserve">For Meridian Electronics Engineering Solutions Ltd.</w:t>
      </w:r>
      <w:r>
        <w:br/>
      </w:r>
      <w:r>
        <w:t xml:space="preserve">Name: Dr. Yael Ben-David, P.E.</w:t>
      </w:r>
      <w:r>
        <w:br/>
      </w:r>
      <w:r>
        <w:t xml:space="preserve">Title: Lead Electronics Engineer / Managing Director</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Meridian Electronics Engineering Solutions Ltd. | 145 Allenby Street, Tel Aviv-Yafo, Israel 6610700</w:t>
      </w:r>
    </w:p>
    <w:p>
      <w:pPr>
        <w:pStyle w:val="BodyText"/>
      </w:pPr>
      <w:r>
        <w:t xml:space="preserve">This Quotation Estimate is the property of Meridian Electronics Engineering Solutions Ltd. and may not be reproduced without written consent.</w:t>
      </w:r>
    </w:p>
    <w:p>
      <w:pPr>
        <w:pStyle w:val="BodyText"/>
      </w:pPr>
      <w:r>
        <w:t xml:space="preserve">Document Reference: QTE-2025-TLV-0347 | Generated: 12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Israel Tel Aviv</dc:title>
  <dc:creator/>
  <dc:language>en</dc:language>
  <cp:keywords/>
  <dcterms:created xsi:type="dcterms:W3CDTF">2026-10-10T02:39:18Z</dcterms:created>
  <dcterms:modified xsi:type="dcterms:W3CDTF">2026-10-10T02:39:18Z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