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Environmental</w:t>
      </w:r>
      <w:r>
        <w:t xml:space="preserve"> </w:t>
      </w:r>
      <w:r>
        <w:t xml:space="preserve">Engineer</w:t>
      </w:r>
      <w:r>
        <w:t xml:space="preserve"> </w:t>
      </w:r>
      <w:r>
        <w:t xml:space="preserve">Services</w:t>
      </w:r>
      <w:r>
        <w:t xml:space="preserve"> </w:t>
      </w:r>
      <w:r>
        <w:t xml:space="preserve">-</w:t>
      </w:r>
      <w:r>
        <w:t xml:space="preserve"> </w:t>
      </w:r>
      <w:r>
        <w:t xml:space="preserve">Colombia</w:t>
      </w:r>
      <w:r>
        <w:t xml:space="preserve"> </w:t>
      </w:r>
      <w:r>
        <w:t xml:space="preserve">Bogotá</w:t>
      </w:r>
    </w:p>
    <w:bookmarkStart w:id="20" w:name="quotation-estimate"/>
    <w:p>
      <w:pPr>
        <w:pStyle w:val="Heading1"/>
      </w:pPr>
      <w:r>
        <w:t xml:space="preserve">Quotation Estimate</w:t>
      </w:r>
    </w:p>
    <w:p>
      <w:pPr>
        <w:pStyle w:val="FirstParagraph"/>
      </w:pPr>
      <w:r>
        <w:t xml:space="preserve">Professional Environmental Engineering Services</w:t>
      </w:r>
    </w:p>
    <w:p>
      <w:pPr>
        <w:pStyle w:val="BodyText"/>
      </w:pPr>
      <w:r>
        <w:t xml:space="preserve">Prepared for Projects in Colombia Bogotá</w:t>
      </w:r>
    </w:p>
    <w:bookmarkEnd w:id="20"/>
    <w:p>
      <w:pPr>
        <w:pStyle w:val="BodyText"/>
      </w:pPr>
      <w:r>
        <w:rPr>
          <w:bCs/>
          <w:b/>
        </w:rPr>
        <w:t xml:space="preserve">Quotation No.:</w:t>
      </w:r>
      <w:r>
        <w:t xml:space="preserve"> </w:t>
      </w:r>
      <w:r>
        <w:t xml:space="preserve">QE-ENV-2025-0472</w:t>
      </w:r>
    </w:p>
    <w:p>
      <w:pPr>
        <w:pStyle w:val="BodyText"/>
      </w:pPr>
      <w:r>
        <w:rPr>
          <w:bCs/>
          <w:b/>
        </w:rPr>
        <w:t xml:space="preserve">Date Issued:</w:t>
      </w:r>
      <w:r>
        <w:t xml:space="preserve"> </w:t>
      </w:r>
      <w:r>
        <w:t xml:space="preserve">June 15, 2025</w:t>
      </w:r>
    </w:p>
    <w:p>
      <w:pPr>
        <w:pStyle w:val="BodyText"/>
      </w:pPr>
      <w:r>
        <w:rPr>
          <w:bCs/>
          <w:b/>
        </w:rPr>
        <w:t xml:space="preserve">Valid Until:</w:t>
      </w:r>
      <w:r>
        <w:t xml:space="preserve"> </w:t>
      </w:r>
      <w:r>
        <w:t xml:space="preserve">July 15, 2025</w:t>
      </w:r>
    </w:p>
    <w:p>
      <w:pPr>
        <w:pStyle w:val="BodyText"/>
      </w:pPr>
      <w:r>
        <w:rPr>
          <w:bCs/>
          <w:b/>
        </w:rPr>
        <w:t xml:space="preserve">Location:</w:t>
      </w:r>
      <w:r>
        <w:t xml:space="preserve"> </w:t>
      </w:r>
      <w:r>
        <w:t xml:space="preserve">Colombia Bogotá</w:t>
      </w:r>
    </w:p>
    <w:p>
      <w:pPr>
        <w:pStyle w:val="BodyText"/>
      </w:pPr>
      <w:r>
        <w:t xml:space="preserve">1. Parties Involved</w:t>
      </w:r>
    </w:p>
    <w:bookmarkStart w:id="21" w:name="service-provider"/>
    <w:p>
      <w:pPr>
        <w:pStyle w:val="Heading3"/>
      </w:pPr>
      <w:r>
        <w:t xml:space="preserve">Service Provider</w:t>
      </w:r>
    </w:p>
    <w:p>
      <w:pPr>
        <w:pStyle w:val="FirstParagraph"/>
      </w:pPr>
      <w:r>
        <w:rPr>
          <w:bCs/>
          <w:b/>
        </w:rPr>
        <w:t xml:space="preserve">Company:</w:t>
      </w:r>
      <w:r>
        <w:t xml:space="preserve"> </w:t>
      </w:r>
      <w:r>
        <w:t xml:space="preserve">Andina Environmental Consulting S.A.S.</w:t>
      </w:r>
    </w:p>
    <w:p>
      <w:pPr>
        <w:pStyle w:val="BodyText"/>
      </w:pPr>
      <w:r>
        <w:rPr>
          <w:bCs/>
          <w:b/>
        </w:rPr>
        <w:t xml:space="preserve">Lead Professional:</w:t>
      </w:r>
      <w:r>
        <w:t xml:space="preserve"> </w:t>
      </w:r>
      <w:r>
        <w:t xml:space="preserve">Environmental Engineer, M.Sc.</w:t>
      </w:r>
    </w:p>
    <w:p>
      <w:pPr>
        <w:pStyle w:val="BodyText"/>
      </w:pPr>
      <w:r>
        <w:rPr>
          <w:bCs/>
          <w:b/>
        </w:rPr>
        <w:t xml:space="preserve">License No.:</w:t>
      </w:r>
      <w:r>
        <w:t xml:space="preserve"> </w:t>
      </w:r>
      <w:r>
        <w:t xml:space="preserve">RNT-ENV-2019-0847</w:t>
      </w:r>
    </w:p>
    <w:p>
      <w:pPr>
        <w:pStyle w:val="BodyText"/>
      </w:pPr>
      <w:r>
        <w:rPr>
          <w:bCs/>
          <w:b/>
        </w:rPr>
        <w:t xml:space="preserve">Address:</w:t>
      </w:r>
      <w:r>
        <w:t xml:space="preserve"> </w:t>
      </w:r>
      <w:r>
        <w:t xml:space="preserve">Av. El Poblado #19-120, Of. 503, Colombia Bogotá</w:t>
      </w:r>
    </w:p>
    <w:p>
      <w:pPr>
        <w:pStyle w:val="BodyText"/>
      </w:pPr>
      <w:r>
        <w:rPr>
          <w:bCs/>
          <w:b/>
        </w:rPr>
        <w:t xml:space="preserve">Email:</w:t>
      </w:r>
      <w:r>
        <w:t xml:space="preserve"> </w:t>
      </w:r>
      <w:r>
        <w:t xml:space="preserve">quotes@andinaenv.co</w:t>
      </w:r>
    </w:p>
    <w:p>
      <w:pPr>
        <w:pStyle w:val="BodyText"/>
      </w:pPr>
      <w:r>
        <w:rPr>
          <w:bCs/>
          <w:b/>
        </w:rPr>
        <w:t xml:space="preserve">Phone:</w:t>
      </w:r>
      <w:r>
        <w:t xml:space="preserve"> </w:t>
      </w:r>
      <w:r>
        <w:t xml:space="preserve">+57 (601) 555 0142</w:t>
      </w:r>
    </w:p>
    <w:bookmarkEnd w:id="21"/>
    <w:bookmarkStart w:id="22" w:name="client-requesting-party"/>
    <w:p>
      <w:pPr>
        <w:pStyle w:val="Heading3"/>
      </w:pPr>
      <w:r>
        <w:t xml:space="preserve">Client / Requesting Party</w:t>
      </w:r>
    </w:p>
    <w:p>
      <w:pPr>
        <w:pStyle w:val="FirstParagraph"/>
      </w:pPr>
      <w:r>
        <w:rPr>
          <w:bCs/>
          <w:b/>
        </w:rPr>
        <w:t xml:space="preserve">Company:</w:t>
      </w:r>
      <w:r>
        <w:t xml:space="preserve"> </w:t>
      </w:r>
      <w:r>
        <w:t xml:space="preserve">[Client Name to be Inserted]</w:t>
      </w:r>
    </w:p>
    <w:p>
      <w:pPr>
        <w:pStyle w:val="BodyText"/>
      </w:pPr>
      <w:r>
        <w:rPr>
          <w:bCs/>
          <w:b/>
        </w:rPr>
        <w:t xml:space="preserve">Contact Person:</w:t>
      </w:r>
      <w:r>
        <w:t xml:space="preserve"> </w:t>
      </w:r>
      <w:r>
        <w:t xml:space="preserve">[Name and Title]</w:t>
      </w:r>
    </w:p>
    <w:p>
      <w:pPr>
        <w:pStyle w:val="BodyText"/>
      </w:pPr>
      <w:r>
        <w:rPr>
          <w:bCs/>
          <w:b/>
        </w:rPr>
        <w:t xml:space="preserve">Address:</w:t>
      </w:r>
      <w:r>
        <w:t xml:space="preserve"> </w:t>
      </w:r>
      <w:r>
        <w:t xml:space="preserve">[Street, District], Colombia Bogotá</w:t>
      </w:r>
    </w:p>
    <w:p>
      <w:pPr>
        <w:pStyle w:val="BodyText"/>
      </w:pPr>
      <w:r>
        <w:rPr>
          <w:bCs/>
          <w:b/>
        </w:rPr>
        <w:t xml:space="preserve">Email:</w:t>
      </w:r>
      <w:r>
        <w:t xml:space="preserve"> </w:t>
      </w:r>
      <w:r>
        <w:t xml:space="preserve">[client.email@domain.com]</w:t>
      </w:r>
    </w:p>
    <w:p>
      <w:pPr>
        <w:pStyle w:val="BodyText"/>
      </w:pPr>
      <w:r>
        <w:rPr>
          <w:bCs/>
          <w:b/>
        </w:rPr>
        <w:t xml:space="preserve">Phone:</w:t>
      </w:r>
      <w:r>
        <w:t xml:space="preserve"> </w:t>
      </w:r>
      <w:r>
        <w:t xml:space="preserve">+57 (601) ___ ____</w:t>
      </w:r>
    </w:p>
    <w:p>
      <w:pPr>
        <w:pStyle w:val="BodyText"/>
      </w:pPr>
      <w:r>
        <w:rPr>
          <w:bCs/>
          <w:b/>
        </w:rPr>
        <w:t xml:space="preserve">NIT:</w:t>
      </w:r>
      <w:r>
        <w:t xml:space="preserve"> </w:t>
      </w:r>
      <w:r>
        <w:t xml:space="preserve">[Tax Identification Number]</w:t>
      </w:r>
    </w:p>
    <w:bookmarkEnd w:id="22"/>
    <w:p>
      <w:pPr>
        <w:pStyle w:val="BodyText"/>
      </w:pPr>
      <w:r>
        <w:t xml:space="preserve">2. Scope of Work – Environmental Engineer Services in Colombia Bogotá</w:t>
      </w:r>
    </w:p>
    <w:p>
      <w:pPr>
        <w:pStyle w:val="BodyText"/>
      </w:pPr>
      <w:r>
        <w:t xml:space="preserve">This</w:t>
      </w:r>
      <w:r>
        <w:t xml:space="preserve"> </w:t>
      </w:r>
      <w:r>
        <w:t xml:space="preserve">Quotation Estimate</w:t>
      </w:r>
      <w:r>
        <w:t xml:space="preserve"> </w:t>
      </w:r>
      <w:r>
        <w:t xml:space="preserve">is issued by Andina Environmental Consulting S.A.S. to provide comprehensive professional services rendered by a certified</w:t>
      </w:r>
      <w:r>
        <w:t xml:space="preserve"> </w:t>
      </w:r>
      <w:r>
        <w:t xml:space="preserve">Environmental Engineer</w:t>
      </w:r>
      <w:r>
        <w:t xml:space="preserve"> </w:t>
      </w:r>
      <w:r>
        <w:t xml:space="preserve">for the client's project located in</w:t>
      </w:r>
      <w:r>
        <w:t xml:space="preserve"> </w:t>
      </w:r>
      <w:r>
        <w:t xml:space="preserve">Colombia Bogotá</w:t>
      </w:r>
      <w:r>
        <w:t xml:space="preserve">. The scope encompasses all regulatory compliance, environmental impact assessment, monitoring, and sustainability consulting activities required under Colombian environmental legislation, specifically Law 99 of 1993, Decree 1076 of 2015, and the applicable regulations enforced by the Autonomous Environmental Authority of Cundinamarca (CAR) and the National Environmental Licensing Agency (ANLA).</w:t>
      </w:r>
    </w:p>
    <w:p>
      <w:pPr>
        <w:pStyle w:val="BodyText"/>
      </w:pPr>
      <w:r>
        <w:t xml:space="preserve">The</w:t>
      </w:r>
      <w:r>
        <w:t xml:space="preserve"> </w:t>
      </w:r>
      <w:r>
        <w:t xml:space="preserve">Environmental Engineer</w:t>
      </w:r>
      <w:r>
        <w:t xml:space="preserve"> </w:t>
      </w:r>
      <w:r>
        <w:t xml:space="preserve">assigned to this project holds a Master's degree in Environmental Engineering from a recognized Colombian university, possesses over twelve (12) years of professional experience in the Colombian regulatory framework, and is fully registered with the Colombian Chamber of Engineers (Cámara Colombiana de Ingenieros). All services will be executed in strict accordance with the technical standards and environmental norms applicable to the</w:t>
      </w:r>
      <w:r>
        <w:t xml:space="preserve"> </w:t>
      </w:r>
      <w:r>
        <w:t xml:space="preserve">Colombia Bogotá</w:t>
      </w:r>
      <w:r>
        <w:t xml:space="preserve"> </w:t>
      </w:r>
      <w:r>
        <w:t xml:space="preserve">metropolitan area and the Cundinamarca department.</w:t>
      </w:r>
    </w:p>
    <w:p>
      <w:pPr>
        <w:pStyle w:val="BodyText"/>
      </w:pPr>
      <w:r>
        <w:t xml:space="preserve">3. Itemized Quotation Estimate –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(COP)</w:t>
            </w:r>
          </w:p>
        </w:tc>
        <w:tc>
          <w:tcPr/>
          <w:p>
            <w:pPr>
              <w:pStyle w:val="Compact"/>
              <w:jc w:val="left"/>
            </w:pPr>
            <w:r>
              <w:t xml:space="preserve">Subtotal (COP)</w:t>
            </w:r>
          </w:p>
        </w:tc>
      </w:tr>
      <w:tr>
        <w:tc>
          <w:tcPr/>
          <w:p>
            <w:pPr>
              <w:pStyle w:val="Compact"/>
              <w:jc w:val="left"/>
            </w:pPr>
            <w:r>
              <w:t xml:space="preserve">1</w:t>
            </w:r>
          </w:p>
        </w:tc>
        <w:tc>
          <w:tcPr/>
          <w:p>
            <w:pPr>
              <w:pStyle w:val="Compact"/>
              <w:jc w:val="left"/>
            </w:pPr>
            <w:r>
              <w:rPr>
                <w:bCs/>
                <w:b/>
              </w:rPr>
              <w:t xml:space="preserve">Environmental Impact Assessment (EIA) Report Preparation</w:t>
            </w:r>
            <w:r>
              <w:t xml:space="preserve"> </w:t>
            </w:r>
            <w:r>
              <w:t xml:space="preserve">– Full elaboration of the Environmental Impact Assessment document as required by the CAR for the project site in Colombia Bogotá, including baseline studies, impact prediction, mitigation measures, and the Environmental Management Plan.</w:t>
            </w:r>
          </w:p>
        </w:tc>
        <w:tc>
          <w:tcPr/>
          <w:p>
            <w:pPr>
              <w:pStyle w:val="Compact"/>
              <w:jc w:val="left"/>
            </w:pPr>
            <w:r>
              <w:t xml:space="preserve">Report</w:t>
            </w:r>
          </w:p>
        </w:tc>
        <w:tc>
          <w:tcPr/>
          <w:p>
            <w:pPr>
              <w:pStyle w:val="Compact"/>
              <w:jc w:val="left"/>
            </w:pPr>
            <w:r>
              <w:t xml:space="preserve">1</w:t>
            </w:r>
          </w:p>
        </w:tc>
        <w:tc>
          <w:tcPr/>
          <w:p>
            <w:pPr>
              <w:pStyle w:val="Compact"/>
              <w:jc w:val="left"/>
            </w:pPr>
            <w:r>
              <w:t xml:space="preserve">48,500,000</w:t>
            </w:r>
          </w:p>
        </w:tc>
        <w:tc>
          <w:tcPr/>
          <w:p>
            <w:pPr>
              <w:pStyle w:val="Compact"/>
              <w:jc w:val="left"/>
            </w:pPr>
            <w:r>
              <w:t xml:space="preserve">48,500,000</w:t>
            </w:r>
          </w:p>
        </w:tc>
      </w:tr>
      <w:tr>
        <w:tc>
          <w:tcPr/>
          <w:p>
            <w:pPr>
              <w:pStyle w:val="Compact"/>
              <w:jc w:val="left"/>
            </w:pPr>
            <w:r>
              <w:t xml:space="preserve">2</w:t>
            </w:r>
          </w:p>
        </w:tc>
        <w:tc>
          <w:tcPr/>
          <w:p>
            <w:pPr>
              <w:pStyle w:val="Compact"/>
              <w:jc w:val="left"/>
            </w:pPr>
            <w:r>
              <w:rPr>
                <w:bCs/>
                <w:b/>
              </w:rPr>
              <w:t xml:space="preserve">Environmental Licensing Support</w:t>
            </w:r>
            <w:r>
              <w:t xml:space="preserve"> </w:t>
            </w:r>
            <w:r>
              <w:t xml:space="preserve">– Technical assistance and representation before the CAR and ANLA for the issuance of the Environmental License in Colombia Bogotá, including document submission, technical hearings, and follow-up until license resolution.</w:t>
            </w:r>
          </w:p>
        </w:tc>
        <w:tc>
          <w:tcPr/>
          <w:p>
            <w:pPr>
              <w:pStyle w:val="Compact"/>
              <w:jc w:val="left"/>
            </w:pPr>
            <w:r>
              <w:t xml:space="preserve">Service</w:t>
            </w:r>
          </w:p>
        </w:tc>
        <w:tc>
          <w:tcPr/>
          <w:p>
            <w:pPr>
              <w:pStyle w:val="Compact"/>
              <w:jc w:val="left"/>
            </w:pPr>
            <w:r>
              <w:t xml:space="preserve">1</w:t>
            </w:r>
          </w:p>
        </w:tc>
        <w:tc>
          <w:tcPr/>
          <w:p>
            <w:pPr>
              <w:pStyle w:val="Compact"/>
              <w:jc w:val="left"/>
            </w:pPr>
            <w:r>
              <w:t xml:space="preserve">32,000,000</w:t>
            </w:r>
          </w:p>
        </w:tc>
        <w:tc>
          <w:tcPr/>
          <w:p>
            <w:pPr>
              <w:pStyle w:val="Compact"/>
              <w:jc w:val="left"/>
            </w:pPr>
            <w:r>
              <w:t xml:space="preserve">32,000,000</w:t>
            </w:r>
          </w:p>
        </w:tc>
      </w:tr>
      <w:tr>
        <w:tc>
          <w:tcPr/>
          <w:p>
            <w:pPr>
              <w:pStyle w:val="Compact"/>
              <w:jc w:val="left"/>
            </w:pPr>
            <w:r>
              <w:t xml:space="preserve">3</w:t>
            </w:r>
          </w:p>
        </w:tc>
        <w:tc>
          <w:tcPr/>
          <w:p>
            <w:pPr>
              <w:pStyle w:val="Compact"/>
              <w:jc w:val="left"/>
            </w:pPr>
            <w:r>
              <w:rPr>
                <w:bCs/>
                <w:b/>
              </w:rPr>
              <w:t xml:space="preserve">Environmental Monitoring Program Design &amp; Implementation</w:t>
            </w:r>
            <w:r>
              <w:t xml:space="preserve"> </w:t>
            </w:r>
            <w:r>
              <w:t xml:space="preserve">– Design of the monitoring plan for air quality, water resources, soil, and noise levels at the project site in Colombia Bogotá. Includes quarterly field sampling, laboratory analysis coordination, and reporting for a period of twelve (12) months.</w:t>
            </w:r>
          </w:p>
        </w:tc>
        <w:tc>
          <w:tcPr/>
          <w:p>
            <w:pPr>
              <w:pStyle w:val="Compact"/>
              <w:jc w:val="left"/>
            </w:pPr>
            <w:r>
              <w:t xml:space="preserve">Year</w:t>
            </w:r>
          </w:p>
        </w:tc>
        <w:tc>
          <w:tcPr/>
          <w:p>
            <w:pPr>
              <w:pStyle w:val="Compact"/>
              <w:jc w:val="left"/>
            </w:pPr>
            <w:r>
              <w:t xml:space="preserve">1</w:t>
            </w:r>
          </w:p>
        </w:tc>
        <w:tc>
          <w:tcPr/>
          <w:p>
            <w:pPr>
              <w:pStyle w:val="Compact"/>
              <w:jc w:val="left"/>
            </w:pPr>
            <w:r>
              <w:t xml:space="preserve">28,750,000</w:t>
            </w:r>
          </w:p>
        </w:tc>
        <w:tc>
          <w:tcPr/>
          <w:p>
            <w:pPr>
              <w:pStyle w:val="Compact"/>
              <w:jc w:val="left"/>
            </w:pPr>
            <w:r>
              <w:t xml:space="preserve">28,750,000</w:t>
            </w:r>
          </w:p>
        </w:tc>
      </w:tr>
      <w:tr>
        <w:tc>
          <w:tcPr/>
          <w:p>
            <w:pPr>
              <w:pStyle w:val="Compact"/>
              <w:jc w:val="left"/>
            </w:pPr>
            <w:r>
              <w:t xml:space="preserve">4</w:t>
            </w:r>
          </w:p>
        </w:tc>
        <w:tc>
          <w:tcPr/>
          <w:p>
            <w:pPr>
              <w:pStyle w:val="Compact"/>
              <w:jc w:val="left"/>
            </w:pPr>
            <w:r>
              <w:rPr>
                <w:bCs/>
                <w:b/>
              </w:rPr>
              <w:t xml:space="preserve">Waste Management &amp; Disposal Plan</w:t>
            </w:r>
            <w:r>
              <w:t xml:space="preserve"> </w:t>
            </w:r>
            <w:r>
              <w:t xml:space="preserve">– Development of the Solid Waste Management Plan and Hazardous Waste Handling Protocol compliant with Decree 1076 of 2015, specific to the operational context in Colombia Bogotá.</w:t>
            </w:r>
          </w:p>
        </w:tc>
        <w:tc>
          <w:tcPr/>
          <w:p>
            <w:pPr>
              <w:pStyle w:val="Compact"/>
              <w:jc w:val="left"/>
            </w:pPr>
            <w:r>
              <w:t xml:space="preserve">Plan</w:t>
            </w:r>
          </w:p>
        </w:tc>
        <w:tc>
          <w:tcPr/>
          <w:p>
            <w:pPr>
              <w:pStyle w:val="Compact"/>
              <w:jc w:val="left"/>
            </w:pPr>
            <w:r>
              <w:t xml:space="preserve">1</w:t>
            </w:r>
          </w:p>
        </w:tc>
        <w:tc>
          <w:tcPr/>
          <w:p>
            <w:pPr>
              <w:pStyle w:val="Compact"/>
              <w:jc w:val="left"/>
            </w:pPr>
            <w:r>
              <w:t xml:space="preserve">12,300,000</w:t>
            </w:r>
          </w:p>
        </w:tc>
        <w:tc>
          <w:tcPr/>
          <w:p>
            <w:pPr>
              <w:pStyle w:val="Compact"/>
              <w:jc w:val="left"/>
            </w:pPr>
            <w:r>
              <w:t xml:space="preserve">12,300,000</w:t>
            </w:r>
          </w:p>
        </w:tc>
      </w:tr>
      <w:tr>
        <w:tc>
          <w:tcPr/>
          <w:p>
            <w:pPr>
              <w:pStyle w:val="Compact"/>
              <w:jc w:val="left"/>
            </w:pPr>
            <w:r>
              <w:t xml:space="preserve">5</w:t>
            </w:r>
          </w:p>
        </w:tc>
        <w:tc>
          <w:tcPr/>
          <w:p>
            <w:pPr>
              <w:pStyle w:val="Compact"/>
              <w:jc w:val="left"/>
            </w:pPr>
            <w:r>
              <w:rPr>
                <w:bCs/>
                <w:b/>
              </w:rPr>
              <w:t xml:space="preserve">Environmental Compliance Audit</w:t>
            </w:r>
            <w:r>
              <w:t xml:space="preserve"> </w:t>
            </w:r>
            <w:r>
              <w:t xml:space="preserve">– On-site audit conducted by the Environmental Engineer to verify adherence to all conditions of the Environmental License and applicable Colombian environmental regulations at the Colombia Bogotá project location.</w:t>
            </w:r>
          </w:p>
        </w:tc>
        <w:tc>
          <w:tcPr/>
          <w:p>
            <w:pPr>
              <w:pStyle w:val="Compact"/>
              <w:jc w:val="left"/>
            </w:pPr>
            <w:r>
              <w:t xml:space="preserve">Audit</w:t>
            </w:r>
          </w:p>
        </w:tc>
        <w:tc>
          <w:tcPr/>
          <w:p>
            <w:pPr>
              <w:pStyle w:val="Compact"/>
              <w:jc w:val="left"/>
            </w:pPr>
            <w:r>
              <w:t xml:space="preserve">2</w:t>
            </w:r>
          </w:p>
        </w:tc>
        <w:tc>
          <w:tcPr/>
          <w:p>
            <w:pPr>
              <w:pStyle w:val="Compact"/>
              <w:jc w:val="left"/>
            </w:pPr>
            <w:r>
              <w:t xml:space="preserve">8,900,000</w:t>
            </w:r>
          </w:p>
        </w:tc>
        <w:tc>
          <w:tcPr/>
          <w:p>
            <w:pPr>
              <w:pStyle w:val="Compact"/>
              <w:jc w:val="left"/>
            </w:pPr>
            <w:r>
              <w:t xml:space="preserve">17,800,000</w:t>
            </w:r>
          </w:p>
        </w:tc>
      </w:tr>
      <w:tr>
        <w:tc>
          <w:tcPr/>
          <w:p>
            <w:pPr>
              <w:pStyle w:val="Compact"/>
              <w:jc w:val="left"/>
            </w:pPr>
            <w:r>
              <w:t xml:space="preserve">6</w:t>
            </w:r>
          </w:p>
        </w:tc>
        <w:tc>
          <w:tcPr/>
          <w:p>
            <w:pPr>
              <w:pStyle w:val="Compact"/>
              <w:jc w:val="left"/>
            </w:pPr>
            <w:r>
              <w:rPr>
                <w:bCs/>
                <w:b/>
              </w:rPr>
              <w:t xml:space="preserve">Community Environmental Social Responsibility (ESR) Program</w:t>
            </w:r>
            <w:r>
              <w:t xml:space="preserve"> </w:t>
            </w:r>
            <w:r>
              <w:t xml:space="preserve">– Design and coordination of the ESR program with local communities in the surrounding districts of Colombia Bogotá, including public consultation sessions, grievance mechanism establishment, and annual reporting.</w:t>
            </w:r>
          </w:p>
        </w:tc>
        <w:tc>
          <w:tcPr/>
          <w:p>
            <w:pPr>
              <w:pStyle w:val="Compact"/>
              <w:jc w:val="left"/>
            </w:pPr>
            <w:r>
              <w:t xml:space="preserve">Program</w:t>
            </w:r>
          </w:p>
        </w:tc>
        <w:tc>
          <w:tcPr/>
          <w:p>
            <w:pPr>
              <w:pStyle w:val="Compact"/>
              <w:jc w:val="left"/>
            </w:pPr>
            <w:r>
              <w:t xml:space="preserve">1</w:t>
            </w:r>
          </w:p>
        </w:tc>
        <w:tc>
          <w:tcPr/>
          <w:p>
            <w:pPr>
              <w:pStyle w:val="Compact"/>
              <w:jc w:val="left"/>
            </w:pPr>
            <w:r>
              <w:t xml:space="preserve">15,600,000</w:t>
            </w:r>
          </w:p>
        </w:tc>
        <w:tc>
          <w:tcPr/>
          <w:p>
            <w:pPr>
              <w:pStyle w:val="Compact"/>
              <w:jc w:val="left"/>
            </w:pPr>
            <w:r>
              <w:t xml:space="preserve">15,600,000</w:t>
            </w:r>
          </w:p>
        </w:tc>
      </w:tr>
      <w:tr>
        <w:tc>
          <w:tcPr/>
          <w:p>
            <w:pPr>
              <w:pStyle w:val="Compact"/>
              <w:jc w:val="left"/>
            </w:pPr>
            <w:r>
              <w:t xml:space="preserve">7</w:t>
            </w:r>
          </w:p>
        </w:tc>
        <w:tc>
          <w:tcPr/>
          <w:p>
            <w:pPr>
              <w:pStyle w:val="Compact"/>
              <w:jc w:val="left"/>
            </w:pPr>
            <w:r>
              <w:rPr>
                <w:bCs/>
                <w:b/>
              </w:rPr>
              <w:t xml:space="preserve">Technical Supervision &amp; Ongoing Consultation</w:t>
            </w:r>
            <w:r>
              <w:t xml:space="preserve"> </w:t>
            </w:r>
            <w:r>
              <w:t xml:space="preserve">– Monthly on-site visits by the Environmental Engineer for technical supervision, progress review, and advisory support throughout the project lifecycle in Colombia Bogotá.</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4,200,000</w:t>
            </w:r>
          </w:p>
        </w:tc>
        <w:tc>
          <w:tcPr/>
          <w:p>
            <w:pPr>
              <w:pStyle w:val="Compact"/>
              <w:jc w:val="left"/>
            </w:pPr>
            <w:r>
              <w:t xml:space="preserve">50,400,000</w:t>
            </w:r>
          </w:p>
        </w:tc>
      </w:tr>
      <w:tr>
        <w:tc>
          <w:tcPr/>
          <w:p>
            <w:pPr>
              <w:pStyle w:val="Compact"/>
              <w:jc w:val="left"/>
            </w:pPr>
            <w:r>
              <w:t xml:space="preserve">8</w:t>
            </w:r>
          </w:p>
        </w:tc>
        <w:tc>
          <w:tcPr/>
          <w:p>
            <w:pPr>
              <w:pStyle w:val="Compact"/>
              <w:jc w:val="left"/>
            </w:pPr>
            <w:r>
              <w:rPr>
                <w:bCs/>
                <w:b/>
              </w:rPr>
              <w:t xml:space="preserve">Regulatory Reporting &amp; Annual Environmental Report</w:t>
            </w:r>
            <w:r>
              <w:t xml:space="preserve"> </w:t>
            </w:r>
            <w:r>
              <w:t xml:space="preserve">– Preparation and submission of the Annual Environmental Report (Informe Ambiental Anual) and all periodic reports required by the CAR for projects operating in Colombia Bogotá.</w:t>
            </w:r>
          </w:p>
        </w:tc>
        <w:tc>
          <w:tcPr/>
          <w:p>
            <w:pPr>
              <w:pStyle w:val="Compact"/>
              <w:jc w:val="left"/>
            </w:pPr>
            <w:r>
              <w:t xml:space="preserve">Report</w:t>
            </w:r>
          </w:p>
        </w:tc>
        <w:tc>
          <w:tcPr/>
          <w:p>
            <w:pPr>
              <w:pStyle w:val="Compact"/>
              <w:jc w:val="left"/>
            </w:pPr>
            <w:r>
              <w:t xml:space="preserve">1</w:t>
            </w:r>
          </w:p>
        </w:tc>
        <w:tc>
          <w:tcPr/>
          <w:p>
            <w:pPr>
              <w:pStyle w:val="Compact"/>
              <w:jc w:val="left"/>
            </w:pPr>
            <w:r>
              <w:t xml:space="preserve">6,800,000</w:t>
            </w:r>
          </w:p>
        </w:tc>
        <w:tc>
          <w:tcPr/>
          <w:p>
            <w:pPr>
              <w:pStyle w:val="Compact"/>
              <w:jc w:val="left"/>
            </w:pPr>
            <w:r>
              <w:t xml:space="preserve">6,800,000</w:t>
            </w:r>
          </w:p>
        </w:tc>
      </w:tr>
      <w:tr>
        <w:tc>
          <w:tcPr>
            <w:gridSpan w:val="5"/>
          </w:tcPr>
          <w:p>
            <w:pPr>
              <w:pStyle w:val="Compact"/>
              <w:jc w:val="right"/>
            </w:pPr>
            <w:r>
              <w:t xml:space="preserve">TOTAL QUOTATION ESTIMATE (COP)</w:t>
            </w:r>
          </w:p>
        </w:tc>
        <w:tc>
          <w:tcPr/>
          <w:p>
            <w:pPr>
              <w:pStyle w:val="Compact"/>
              <w:jc w:val="left"/>
            </w:pPr>
            <w:r>
              <w:t xml:space="preserve">212,150,000</w:t>
            </w:r>
          </w:p>
        </w:tc>
      </w:tr>
      <w:tr>
        <w:tc>
          <w:tcPr>
            <w:gridSpan w:val="5"/>
          </w:tcPr>
          <w:p>
            <w:pPr>
              <w:pStyle w:val="Compact"/>
              <w:jc w:val="right"/>
            </w:pPr>
            <w:r>
              <w:t xml:space="preserve">TOTAL QUOTATION ESTIMATE (USD – Approx. at 4,100 COP/USD)</w:t>
            </w:r>
          </w:p>
        </w:tc>
        <w:tc>
          <w:tcPr/>
          <w:p>
            <w:pPr>
              <w:pStyle w:val="Compact"/>
              <w:jc w:val="left"/>
            </w:pPr>
            <w:r>
              <w:t xml:space="preserve">51,743.90</w:t>
            </w:r>
          </w:p>
        </w:tc>
      </w:tr>
    </w:tbl>
    <w:p>
      <w:pPr>
        <w:pStyle w:val="BodyText"/>
      </w:pPr>
      <w:r>
        <w:t xml:space="preserve">4. Terms and Conditions of This Quotation Estimate</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this period, prices may be subject to revision due to market conditions in Colombia Bogotá.</w:t>
      </w:r>
    </w:p>
    <w:p>
      <w:pPr>
        <w:numPr>
          <w:ilvl w:val="0"/>
          <w:numId w:val="1001"/>
        </w:numPr>
        <w:pStyle w:val="Compact"/>
      </w:pPr>
      <w:r>
        <w:rPr>
          <w:bCs/>
          <w:b/>
        </w:rPr>
        <w:t xml:space="preserve">Payment Terms:</w:t>
      </w:r>
      <w:r>
        <w:t xml:space="preserve"> </w:t>
      </w:r>
      <w:r>
        <w:t xml:space="preserve">40% advance upon contract signing, 30% upon delivery of the Environmental Impact Assessment report, 20% upon issuance of the Environmental License, and 10% upon final project closure and submission of the Annual Environmental Report.</w:t>
      </w:r>
    </w:p>
    <w:p>
      <w:pPr>
        <w:numPr>
          <w:ilvl w:val="0"/>
          <w:numId w:val="1001"/>
        </w:numPr>
        <w:pStyle w:val="Compact"/>
      </w:pPr>
      <w:r>
        <w:rPr>
          <w:bCs/>
          <w:b/>
        </w:rPr>
        <w:t xml:space="preserve">Currency:</w:t>
      </w:r>
      <w:r>
        <w:t xml:space="preserve"> </w:t>
      </w:r>
      <w:r>
        <w:t xml:space="preserve">All amounts in this Quotation Estimate are expressed in Colombian Pesos (COP). The USD equivalent is provided for reference only and is based on the exchange rate on the date of issue.</w:t>
      </w:r>
    </w:p>
    <w:p>
      <w:pPr>
        <w:numPr>
          <w:ilvl w:val="0"/>
          <w:numId w:val="1001"/>
        </w:numPr>
        <w:pStyle w:val="Compact"/>
      </w:pPr>
      <w:r>
        <w:rPr>
          <w:bCs/>
          <w:b/>
        </w:rPr>
        <w:t xml:space="preserve">Taxes:</w:t>
      </w:r>
      <w:r>
        <w:t xml:space="preserve"> </w:t>
      </w:r>
      <w:r>
        <w:t xml:space="preserve">Prices include applicable Value Added Tax (VAT / IVA) at the current Colombian rate of 19%, unless otherwise stated. The Environmental Engineer's professional services are subject to Colombian tax regulations.</w:t>
      </w:r>
    </w:p>
    <w:p>
      <w:pPr>
        <w:numPr>
          <w:ilvl w:val="0"/>
          <w:numId w:val="1001"/>
        </w:numPr>
        <w:pStyle w:val="Compact"/>
      </w:pPr>
      <w:r>
        <w:rPr>
          <w:bCs/>
          <w:b/>
        </w:rPr>
        <w:t xml:space="preserve">Deliverables:</w:t>
      </w:r>
      <w:r>
        <w:t xml:space="preserve"> </w:t>
      </w:r>
      <w:r>
        <w:t xml:space="preserve">All reports, plans, and documents will be delivered in both digital (PDF and editable formats) and physical (three hard copies) formats, as required by the CAR for projects in Colombia Bogotá.</w:t>
      </w:r>
    </w:p>
    <w:p>
      <w:pPr>
        <w:numPr>
          <w:ilvl w:val="0"/>
          <w:numId w:val="1001"/>
        </w:numPr>
        <w:pStyle w:val="Compact"/>
      </w:pPr>
      <w:r>
        <w:rPr>
          <w:bCs/>
          <w:b/>
        </w:rPr>
        <w:t xml:space="preserve">Confidentiality:</w:t>
      </w:r>
      <w:r>
        <w:t xml:space="preserve"> </w:t>
      </w:r>
      <w:r>
        <w:t xml:space="preserve">The Environmental Engineer and the consulting firm commit to full confidentiality of all project data, proprietary information, and site-specific details related to the Colombia Bogotá project.</w:t>
      </w:r>
    </w:p>
    <w:p>
      <w:pPr>
        <w:numPr>
          <w:ilvl w:val="0"/>
          <w:numId w:val="1001"/>
        </w:numPr>
        <w:pStyle w:val="Compact"/>
      </w:pPr>
      <w:r>
        <w:rPr>
          <w:bCs/>
          <w:b/>
        </w:rPr>
        <w:t xml:space="preserve">Liability:</w:t>
      </w:r>
      <w:r>
        <w:t xml:space="preserve"> </w:t>
      </w:r>
      <w:r>
        <w:t xml:space="preserve">The Environmental Engineer's professional liability is covered under a professional indemnity insurance policy with a minimum coverage of COP 500,000,000, as required by Colombian professional engineering regulations.</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 regulatory changes in Colombia, or public health emergencies affecting operations in Colombia Bogotá.</w:t>
      </w:r>
    </w:p>
    <w:p>
      <w:pPr>
        <w:numPr>
          <w:ilvl w:val="0"/>
          <w:numId w:val="1001"/>
        </w:numPr>
        <w:pStyle w:val="Compact"/>
      </w:pPr>
      <w:r>
        <w:rPr>
          <w:bCs/>
          <w:b/>
        </w:rPr>
        <w:t xml:space="preserve">Governing Law:</w:t>
      </w:r>
      <w:r>
        <w:t xml:space="preserve"> </w:t>
      </w:r>
      <w:r>
        <w:t xml:space="preserve">This Quotation Estimate and any resulting contract shall be governed by the laws of the Republic of Colombia. Any disputes shall be resolved through the competent courts of Colombia Bogotá, Cundinamarca.</w:t>
      </w:r>
    </w:p>
    <w:p>
      <w:pPr>
        <w:numPr>
          <w:ilvl w:val="0"/>
          <w:numId w:val="1001"/>
        </w:numPr>
        <w:pStyle w:val="Compact"/>
      </w:pPr>
      <w:r>
        <w:rPr>
          <w:bCs/>
          <w:b/>
        </w:rPr>
        <w:t xml:space="preserve">Acceptance:</w:t>
      </w:r>
      <w:r>
        <w:t xml:space="preserve"> </w:t>
      </w:r>
      <w:r>
        <w:t xml:space="preserve">This Quotation Estimate does not constitute a binding contract until formally accepted in writing by both parties and a definitive service agreement is executed.</w:t>
      </w:r>
    </w:p>
    <w:p>
      <w:pPr>
        <w:pStyle w:val="FirstParagraph"/>
      </w:pPr>
      <w:r>
        <w:t xml:space="preserve">5. Acceptance and Signatures</w:t>
      </w:r>
    </w:p>
    <w:p>
      <w:pPr>
        <w:pStyle w:val="BodyText"/>
      </w:pPr>
      <w:r>
        <w:rPr>
          <w:bCs/>
          <w:b/>
        </w:rPr>
        <w:t xml:space="preserve">For Andina Environmental Consulting S.A.S.</w:t>
      </w:r>
    </w:p>
    <w:p>
      <w:pPr>
        <w:pStyle w:val="BodyText"/>
      </w:pPr>
      <w:r>
        <w:t xml:space="preserve">Environmental Engineer – Lead Consultant</w:t>
      </w:r>
    </w:p>
    <w:p>
      <w:pPr>
        <w:pStyle w:val="BodyText"/>
      </w:pPr>
      <w:r>
        <w:t xml:space="preserve">Name: ______________________________</w:t>
      </w:r>
      <w:r>
        <w:br/>
      </w:r>
      <w:r>
        <w:t xml:space="preserve">Signature: ______________________________</w:t>
      </w:r>
      <w:r>
        <w:br/>
      </w:r>
      <w:r>
        <w:t xml:space="preserve">Date: ______________________________</w:t>
      </w:r>
    </w:p>
    <w:p>
      <w:pPr>
        <w:pStyle w:val="BodyText"/>
      </w:pPr>
      <w:r>
        <w:rPr>
          <w:bCs/>
          <w:b/>
        </w:rPr>
        <w:t xml:space="preserve">For the Client</w:t>
      </w:r>
    </w:p>
    <w:p>
      <w:pPr>
        <w:pStyle w:val="BodyText"/>
      </w:pPr>
      <w:r>
        <w:t xml:space="preserve">Authorized Representative</w:t>
      </w:r>
    </w:p>
    <w:p>
      <w:pPr>
        <w:pStyle w:val="BodyText"/>
      </w:pPr>
      <w:r>
        <w:t xml:space="preserve">Name: ______________________________</w:t>
      </w:r>
      <w:r>
        <w:br/>
      </w:r>
      <w:r>
        <w:t xml:space="preserve">Signature: ______________________________</w:t>
      </w:r>
      <w:r>
        <w:br/>
      </w:r>
      <w:r>
        <w:t xml:space="preserve">Date: ______________________________</w:t>
      </w:r>
    </w:p>
    <w:p>
      <w:pPr>
        <w:pStyle w:val="BodyText"/>
      </w:pPr>
      <w:r>
        <w:rPr>
          <w:bCs/>
          <w:b/>
        </w:rPr>
        <w:t xml:space="preserve">Important Note:</w:t>
      </w:r>
      <w:r>
        <w:t xml:space="preserve"> </w:t>
      </w:r>
      <w:r>
        <w:t xml:space="preserve">This Quotation Estimate for Environmental Engineer services in Colombia Bogotá is prepared in accordance with the technical and regulatory standards of the Colombian environmental sector. The Environmental Engineer assigned to this engagement will ensure full compliance with all applicable national and local environmental regulations. All fieldwork, laboratory analyses, and regulatory submissions will be conducted within the jurisdiction of Colombia Bogotá and the Cundinamarca department. This document is the property of Andina Environmental Consulting S.A.S. and may not be reproduced or distributed without prior written consent.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Environmental Engineer Services - Colombia Bogotá</dc:title>
  <dc:creator/>
  <dc:language>en</dc:language>
  <cp:keywords/>
  <dcterms:created xsi:type="dcterms:W3CDTF">2026-10-10T02:22:49Z</dcterms:created>
  <dcterms:modified xsi:type="dcterms:W3CDTF">2026-10-10T02:22:49Z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