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Delta Environmental Consulting &amp; Engineering Co.</w:t>
      </w:r>
    </w:p>
    <w:p>
      <w:pPr>
        <w:pStyle w:val="BodyText"/>
      </w:pPr>
      <w:r>
        <w:t xml:space="preserve">127 El Tahrir Street, Downtown District,</w:t>
      </w:r>
      <w:r>
        <w:t xml:space="preserve"> </w:t>
      </w:r>
      <w:r>
        <w:t xml:space="preserve">Egypt Cairo</w:t>
      </w:r>
      <w:r>
        <w:t xml:space="preserve">, 11511</w:t>
      </w:r>
    </w:p>
    <w:p>
      <w:pPr>
        <w:pStyle w:val="BodyText"/>
      </w:pPr>
      <w:r>
        <w:t xml:space="preserve">Tel: +20 2 2574 8890 | Email: info@niledelta-env.com | CR: 104-5521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QTE-2025-CAI-00847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For</w:t>
            </w:r>
          </w:p>
        </w:tc>
        <w:tc>
          <w:tcPr/>
          <w:p>
            <w:pPr>
              <w:pStyle w:val="Compact"/>
              <w:jc w:val="left"/>
            </w:pPr>
            <w:r>
              <w:t xml:space="preserve">Al-Nile Real Estate Development Group, 45 Corniche El Nil, Maadi,</w:t>
            </w:r>
            <w:r>
              <w:t xml:space="preserve"> </w:t>
            </w:r>
            <w:r>
              <w:t xml:space="preserve">Egypt Cairo</w:t>
            </w:r>
          </w:p>
        </w:tc>
        <w:tc>
          <w:tcPr/>
          <w:p>
            <w:pPr>
              <w:pStyle w:val="Compact"/>
              <w:jc w:val="left"/>
            </w:pPr>
            <w:r>
              <w:t xml:space="preserve">Project Reference</w:t>
            </w:r>
          </w:p>
        </w:tc>
        <w:tc>
          <w:tcPr/>
          <w:p>
            <w:pPr>
              <w:pStyle w:val="Compact"/>
              <w:jc w:val="left"/>
            </w:pPr>
            <w:r>
              <w:t xml:space="preserve">PRJ-MAADI-2025-031</w:t>
            </w:r>
          </w:p>
        </w:tc>
      </w:tr>
      <w:tr>
        <w:tc>
          <w:tcPr/>
          <w:p>
            <w:pPr>
              <w:pStyle w:val="Compact"/>
              <w:jc w:val="left"/>
            </w:pPr>
            <w:r>
              <w:t xml:space="preserve">Prepared By</w:t>
            </w:r>
          </w:p>
        </w:tc>
        <w:tc>
          <w:tcPr/>
          <w:p>
            <w:pPr>
              <w:pStyle w:val="Compact"/>
              <w:jc w:val="left"/>
            </w:pPr>
            <w:r>
              <w:t xml:space="preserve">Eng. Mahmoud El-Sayed, Lead</w:t>
            </w:r>
            <w:r>
              <w:t xml:space="preserve"> </w:t>
            </w:r>
            <w:r>
              <w:t xml:space="preserve">Environmental Engineer</w:t>
            </w:r>
          </w:p>
        </w:tc>
        <w:tc>
          <w:tcPr/>
          <w:p>
            <w:pPr>
              <w:pStyle w:val="Compact"/>
              <w:jc w:val="left"/>
            </w:pPr>
            <w:r>
              <w:t xml:space="preserve">License No.</w:t>
            </w:r>
          </w:p>
        </w:tc>
        <w:tc>
          <w:tcPr/>
          <w:p>
            <w:pPr>
              <w:pStyle w:val="Compact"/>
              <w:jc w:val="left"/>
            </w:pPr>
            <w:r>
              <w:t xml:space="preserve">EE-EGY-2019-4472 (Ministry of Environment,</w:t>
            </w:r>
            <w:r>
              <w:t xml:space="preserve"> </w:t>
            </w:r>
            <w:r>
              <w:t xml:space="preserve">Egypt Cairo</w:t>
            </w:r>
            <w:r>
              <w:t xml:space="preserve">)</w:t>
            </w:r>
          </w:p>
        </w:tc>
      </w:tr>
    </w:tbl>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issued by Nile Delta Environmental Consulting &amp; Engineering Co. to provide a comprehensive, itemized cost breakdown for the professional services of a licensed</w:t>
      </w:r>
      <w:r>
        <w:t xml:space="preserve"> </w:t>
      </w:r>
      <w:r>
        <w:t xml:space="preserve">Environmental Engineer</w:t>
      </w:r>
      <w:r>
        <w:t xml:space="preserve"> </w:t>
      </w:r>
      <w:r>
        <w:t xml:space="preserve">engaged to conduct a full Environmental Impact Assessment (EIA) and Environmental Management Plan (EMP) for the proposed mixed-use residential and commercial development project located in the Maadi District,</w:t>
      </w:r>
      <w:r>
        <w:t xml:space="preserve"> </w:t>
      </w:r>
      <w:r>
        <w:t xml:space="preserve">Egypt Cairo</w:t>
      </w:r>
      <w:r>
        <w:t xml:space="preserve">. This document serves as a binding financial proposal and shall remain valid for the period stated above unless otherwise communicated in writing by either party.</w:t>
      </w:r>
    </w:p>
    <w:bookmarkEnd w:id="21"/>
    <w:bookmarkStart w:id="22" w:name="X946d698864d8920a843cfef3750f164b861a8fb"/>
    <w:p>
      <w:pPr>
        <w:pStyle w:val="Heading2"/>
      </w:pPr>
      <w:r>
        <w:t xml:space="preserve">2. Scope of Work – Environmental Engineer Services in Egypt Cairo</w:t>
      </w:r>
    </w:p>
    <w:p>
      <w:pPr>
        <w:pStyle w:val="FirstParagraph"/>
      </w:pPr>
      <w:r>
        <w:t xml:space="preserve">The</w:t>
      </w:r>
      <w:r>
        <w:t xml:space="preserve"> </w:t>
      </w:r>
      <w:r>
        <w:t xml:space="preserve">Environmental Engineer</w:t>
      </w:r>
      <w:r>
        <w:t xml:space="preserve"> </w:t>
      </w:r>
      <w:r>
        <w:t xml:space="preserve">assigned to this project shall deliver the following professional services in full compliance with the Egyptian Environmental Affairs Agency (EEAA) regulations, the Egyptian Environmental Law No. 4 of 1994 (as amended), and all applicable municipal bylaws governing construction and land-use in</w:t>
      </w:r>
      <w:r>
        <w:t xml:space="preserve"> </w:t>
      </w:r>
      <w:r>
        <w:t xml:space="preserve">Egypt Cairo</w:t>
      </w:r>
      <w:r>
        <w:t xml:space="preserve">:</w:t>
      </w:r>
    </w:p>
    <w:p>
      <w:pPr>
        <w:numPr>
          <w:ilvl w:val="0"/>
          <w:numId w:val="1001"/>
        </w:numPr>
        <w:pStyle w:val="Compact"/>
      </w:pPr>
      <w:r>
        <w:rPr>
          <w:bCs/>
          <w:b/>
        </w:rPr>
        <w:t xml:space="preserve">Baseline Environmental Survey:</w:t>
      </w:r>
      <w:r>
        <w:t xml:space="preserve"> </w:t>
      </w:r>
      <w:r>
        <w:t xml:space="preserve">Comprehensive field assessment of air quality, surface water and groundwater parameters, soil contamination indicators, noise levels, and ecological biodiversity across the 12,500 m² project site in Maadi,</w:t>
      </w:r>
      <w:r>
        <w:t xml:space="preserve"> </w:t>
      </w:r>
      <w:r>
        <w:t xml:space="preserve">Egypt Cairo</w:t>
      </w:r>
      <w:r>
        <w:t xml:space="preserve">.</w:t>
      </w:r>
    </w:p>
    <w:p>
      <w:pPr>
        <w:numPr>
          <w:ilvl w:val="0"/>
          <w:numId w:val="1001"/>
        </w:numPr>
        <w:pStyle w:val="Compact"/>
      </w:pPr>
      <w:r>
        <w:rPr>
          <w:bCs/>
          <w:b/>
        </w:rPr>
        <w:t xml:space="preserve">Environmental Impact Assessment (EIA) Report:</w:t>
      </w:r>
      <w:r>
        <w:t xml:space="preserve"> </w:t>
      </w:r>
      <w:r>
        <w:t xml:space="preserve">Preparation of a full EIA report in accordance with EEAA Circular No. 1 of 2020, including identification of direct, indirect, and cumulative impacts of construction and operational phases.</w:t>
      </w:r>
    </w:p>
    <w:p>
      <w:pPr>
        <w:numPr>
          <w:ilvl w:val="0"/>
          <w:numId w:val="1001"/>
        </w:numPr>
        <w:pStyle w:val="Compact"/>
      </w:pPr>
      <w:r>
        <w:rPr>
          <w:bCs/>
          <w:b/>
        </w:rPr>
        <w:t xml:space="preserve">Environmental Management Plan (EMP):</w:t>
      </w:r>
      <w:r>
        <w:t xml:space="preserve"> </w:t>
      </w:r>
      <w:r>
        <w:t xml:space="preserve">Development of a detailed EMP with mitigation measures, monitoring protocols, responsible-party assignments, and a compliance schedule spanning the entire project lifecycle.</w:t>
      </w:r>
    </w:p>
    <w:p>
      <w:pPr>
        <w:numPr>
          <w:ilvl w:val="0"/>
          <w:numId w:val="1001"/>
        </w:numPr>
        <w:pStyle w:val="Compact"/>
      </w:pPr>
      <w:r>
        <w:rPr>
          <w:bCs/>
          <w:b/>
        </w:rPr>
        <w:t xml:space="preserve">Stakeholder Consultation and Public Disclosure:</w:t>
      </w:r>
      <w:r>
        <w:t xml:space="preserve"> </w:t>
      </w:r>
      <w:r>
        <w:t xml:space="preserve">Coordination of public disclosure sessions as mandated by the EEAA for projects in the</w:t>
      </w:r>
      <w:r>
        <w:t xml:space="preserve"> </w:t>
      </w:r>
      <w:r>
        <w:t xml:space="preserve">Egypt Cairo</w:t>
      </w:r>
      <w:r>
        <w:t xml:space="preserve"> </w:t>
      </w:r>
      <w:r>
        <w:t xml:space="preserve">metropolitan area, including preparation of public information summaries in Arabic and English.</w:t>
      </w:r>
    </w:p>
    <w:p>
      <w:pPr>
        <w:numPr>
          <w:ilvl w:val="0"/>
          <w:numId w:val="1001"/>
        </w:numPr>
        <w:pStyle w:val="Compact"/>
      </w:pPr>
      <w:r>
        <w:rPr>
          <w:bCs/>
          <w:b/>
        </w:rPr>
        <w:t xml:space="preserve">Regulatory Submission and Permitting Support:</w:t>
      </w:r>
      <w:r>
        <w:t xml:space="preserve"> </w:t>
      </w:r>
      <w:r>
        <w:t xml:space="preserve">Preparation and submission of all required documentation to the EEAA</w:t>
      </w:r>
      <w:r>
        <w:t xml:space="preserve"> </w:t>
      </w:r>
      <w:r>
        <w:t xml:space="preserve">Egypt Cairo</w:t>
      </w:r>
      <w:r>
        <w:t xml:space="preserve"> </w:t>
      </w:r>
      <w:r>
        <w:t xml:space="preserve">Regional Office, the Cairo Governorate Environment Department, and the National Water Research Center (NWRC) for approval and licensing.</w:t>
      </w:r>
    </w:p>
    <w:p>
      <w:pPr>
        <w:numPr>
          <w:ilvl w:val="0"/>
          <w:numId w:val="1001"/>
        </w:numPr>
        <w:pStyle w:val="Compact"/>
      </w:pPr>
      <w:r>
        <w:rPr>
          <w:bCs/>
          <w:b/>
        </w:rPr>
        <w:t xml:space="preserve">Construction-Phase Environmental Monitoring:</w:t>
      </w:r>
      <w:r>
        <w:t xml:space="preserve"> </w:t>
      </w:r>
      <w:r>
        <w:t xml:space="preserve">On-site monitoring visits (minimum 8 visits over the 14-month construction period) to verify compliance with the approved EMP, with written reports submitted after each visit.</w:t>
      </w:r>
    </w:p>
    <w:p>
      <w:pPr>
        <w:numPr>
          <w:ilvl w:val="0"/>
          <w:numId w:val="1001"/>
        </w:numPr>
        <w:pStyle w:val="Compact"/>
      </w:pPr>
      <w:r>
        <w:rPr>
          <w:bCs/>
          <w:b/>
        </w:rPr>
        <w:t xml:space="preserve">Final Environmental Compliance Certificate:</w:t>
      </w:r>
      <w:r>
        <w:t xml:space="preserve"> </w:t>
      </w:r>
      <w:r>
        <w:t xml:space="preserve">Issuance of a closing compliance report upon project completion, confirming that all mitigation measures have been implemented and environmental conditions have been restored or improved.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Baseline Environmental Survey &amp; Field Sampling (Air, Water, Soil, Noise, Ecology)</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Preparation of EIA Report (including GIS mapping, impact modeling, and mitigation design)</w:t>
            </w:r>
          </w:p>
        </w:tc>
        <w:tc>
          <w:tcPr/>
          <w:p>
            <w:pPr>
              <w:pStyle w:val="Compact"/>
              <w:jc w:val="left"/>
            </w:pPr>
            <w:r>
              <w:t xml:space="preserve">6 weeks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Preparation of Environmental Management Plan (EMP)</w:t>
            </w:r>
          </w:p>
        </w:tc>
        <w:tc>
          <w:tcPr/>
          <w:p>
            <w:pPr>
              <w:pStyle w:val="Compact"/>
              <w:jc w:val="left"/>
            </w:pPr>
            <w:r>
              <w:t xml:space="preserve">4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Public Disclosure &amp; Stakeholder Consultation (2 sessions in</w:t>
            </w:r>
            <w:r>
              <w:t xml:space="preserve"> </w:t>
            </w:r>
            <w:r>
              <w:t xml:space="preserve">Egypt Cairo</w:t>
            </w:r>
            <w:r>
              <w:t xml:space="preserve">)</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Regulatory Submission, Follow-up &amp; Permitting (EEAA, Cairo Governorate, NWRC)</w:t>
            </w:r>
          </w:p>
        </w:tc>
        <w:tc>
          <w:tcPr/>
          <w:p>
            <w:pPr>
              <w:pStyle w:val="Compact"/>
              <w:jc w:val="left"/>
            </w:pPr>
            <w:r>
              <w:t xml:space="preserve">8 weeks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Construction-Phase Environmental Monitoring (8 on-site visits + reports)</w:t>
            </w:r>
          </w:p>
        </w:tc>
        <w:tc>
          <w:tcPr/>
          <w:p>
            <w:pPr>
              <w:pStyle w:val="Compact"/>
              <w:jc w:val="left"/>
            </w:pPr>
            <w:r>
              <w:t xml:space="preserve">14 months</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Final Environmental Compliance Certificate &amp; Closing Report</w:t>
            </w:r>
          </w:p>
        </w:tc>
        <w:tc>
          <w:tcPr/>
          <w:p>
            <w:pPr>
              <w:pStyle w:val="Compact"/>
              <w:jc w:val="left"/>
            </w:pPr>
            <w:r>
              <w:t xml:space="preserve">2 weeks</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Third-Party Laboratory Analysis Fees (accredited labs in</w:t>
            </w:r>
            <w:r>
              <w:t xml:space="preserve"> </w:t>
            </w:r>
            <w:r>
              <w:t xml:space="preserve">Egypt Cairo</w:t>
            </w:r>
            <w:r>
              <w:t xml:space="preserve">)</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Project Management, Coordination &amp; Administrative Overhead</w:t>
            </w:r>
          </w:p>
        </w:tc>
        <w:tc>
          <w:tcPr/>
          <w:p>
            <w:pPr>
              <w:pStyle w:val="Compact"/>
              <w:jc w:val="left"/>
            </w:pPr>
            <w:r>
              <w:t xml:space="preserve">Full duration</w:t>
            </w:r>
          </w:p>
        </w:tc>
        <w:tc>
          <w:tcPr/>
          <w:p>
            <w:pPr>
              <w:pStyle w:val="Compact"/>
              <w:jc w:val="left"/>
            </w:pPr>
            <w:r>
              <w:t xml:space="preserve">—</w:t>
            </w:r>
          </w:p>
        </w:tc>
        <w:tc>
          <w:tcPr/>
          <w:p>
            <w:pPr>
              <w:pStyle w:val="Compact"/>
              <w:jc w:val="left"/>
            </w:pPr>
            <w:r>
              <w:t xml:space="preserve">45,000</w:t>
            </w:r>
          </w:p>
        </w:tc>
      </w:tr>
      <w:tr>
        <w:tc>
          <w:tcPr>
            <w:gridSpan w:val="4"/>
          </w:tcPr>
          <w:p>
            <w:pPr>
              <w:pStyle w:val="Compact"/>
              <w:jc w:val="right"/>
            </w:pPr>
            <w:r>
              <w:t xml:space="preserve">Subtotal (EGP)</w:t>
            </w:r>
          </w:p>
        </w:tc>
        <w:tc>
          <w:tcPr/>
          <w:p>
            <w:pPr>
              <w:pStyle w:val="Compact"/>
              <w:jc w:val="left"/>
            </w:pPr>
            <w:r>
              <w:t xml:space="preserve">814,000</w:t>
            </w:r>
          </w:p>
        </w:tc>
      </w:tr>
      <w:tr>
        <w:tc>
          <w:tcPr>
            <w:gridSpan w:val="4"/>
          </w:tcPr>
          <w:p>
            <w:pPr>
              <w:pStyle w:val="Compact"/>
              <w:jc w:val="right"/>
            </w:pPr>
            <w:r>
              <w:t xml:space="preserve">VAT (14% – Egyptian Tax Authority)</w:t>
            </w:r>
          </w:p>
        </w:tc>
        <w:tc>
          <w:tcPr/>
          <w:p>
            <w:pPr>
              <w:pStyle w:val="Compact"/>
              <w:jc w:val="left"/>
            </w:pPr>
            <w:r>
              <w:t xml:space="preserve">113,960</w:t>
            </w:r>
          </w:p>
        </w:tc>
      </w:tr>
      <w:tr>
        <w:tc>
          <w:tcPr>
            <w:gridSpan w:val="4"/>
          </w:tcPr>
          <w:p>
            <w:pPr>
              <w:pStyle w:val="Compact"/>
              <w:jc w:val="right"/>
            </w:pPr>
            <w:r>
              <w:t xml:space="preserve">GRAND TOTAL (EGP)</w:t>
            </w:r>
          </w:p>
        </w:tc>
        <w:tc>
          <w:tcPr/>
          <w:p>
            <w:pPr>
              <w:pStyle w:val="Compact"/>
              <w:jc w:val="left"/>
            </w:pPr>
            <w:r>
              <w:t xml:space="preserve">927,960</w:t>
            </w:r>
          </w:p>
        </w:tc>
      </w:tr>
    </w:tbl>
    <w:bookmarkEnd w:id="23"/>
    <w:bookmarkStart w:id="24" w:name="payment-schedule"/>
    <w:p>
      <w:pPr>
        <w:pStyle w:val="Heading2"/>
      </w:pPr>
      <w:r>
        <w:t xml:space="preserve">4. Payment Schedule</w:t>
      </w:r>
    </w:p>
    <w:p>
      <w:pPr>
        <w:numPr>
          <w:ilvl w:val="0"/>
          <w:numId w:val="1002"/>
        </w:numPr>
        <w:pStyle w:val="Compact"/>
      </w:pPr>
      <w:r>
        <w:rPr>
          <w:bCs/>
          <w:b/>
        </w:rPr>
        <w:t xml:space="preserve">30% Advance Payment (EGP 278,388):</w:t>
      </w:r>
      <w:r>
        <w:t xml:space="preserve"> </w:t>
      </w:r>
      <w:r>
        <w:t xml:space="preserve">Due upon signing of the service agreement and issuance of this</w:t>
      </w:r>
      <w:r>
        <w:t xml:space="preserve"> </w:t>
      </w:r>
      <w:r>
        <w:t xml:space="preserve">Quotation Estimate</w:t>
      </w:r>
      <w:r>
        <w:t xml:space="preserve"> </w:t>
      </w:r>
      <w:r>
        <w:t xml:space="preserve">acceptance.</w:t>
      </w:r>
    </w:p>
    <w:p>
      <w:pPr>
        <w:numPr>
          <w:ilvl w:val="0"/>
          <w:numId w:val="1002"/>
        </w:numPr>
        <w:pStyle w:val="Compact"/>
      </w:pPr>
      <w:r>
        <w:rPr>
          <w:bCs/>
          <w:b/>
        </w:rPr>
        <w:t xml:space="preserve">40% Progress Payment (EGP 371,184):</w:t>
      </w:r>
      <w:r>
        <w:t xml:space="preserve"> </w:t>
      </w:r>
      <w:r>
        <w:t xml:space="preserve">Due upon successful submission of the EIA report and EMP to the EEAA</w:t>
      </w:r>
      <w:r>
        <w:t xml:space="preserve"> </w:t>
      </w:r>
      <w:r>
        <w:t xml:space="preserve">Egypt Cairo</w:t>
      </w:r>
      <w:r>
        <w:t xml:space="preserve"> </w:t>
      </w:r>
      <w:r>
        <w:t xml:space="preserve">office.</w:t>
      </w:r>
    </w:p>
    <w:p>
      <w:pPr>
        <w:numPr>
          <w:ilvl w:val="0"/>
          <w:numId w:val="1002"/>
        </w:numPr>
        <w:pStyle w:val="Compact"/>
      </w:pPr>
      <w:r>
        <w:rPr>
          <w:bCs/>
          <w:b/>
        </w:rPr>
        <w:t xml:space="preserve">20% Milestone Payment (EGP 185,592):</w:t>
      </w:r>
      <w:r>
        <w:t xml:space="preserve"> </w:t>
      </w:r>
      <w:r>
        <w:t xml:space="preserve">Due upon receipt of the Environmental Permit / No-Objection Certificate from the EEAA.</w:t>
      </w:r>
    </w:p>
    <w:p>
      <w:pPr>
        <w:numPr>
          <w:ilvl w:val="0"/>
          <w:numId w:val="1002"/>
        </w:numPr>
        <w:pStyle w:val="Compact"/>
      </w:pPr>
      <w:r>
        <w:rPr>
          <w:bCs/>
          <w:b/>
        </w:rPr>
        <w:t xml:space="preserve">10% Final Payment (EGP 92,796):</w:t>
      </w:r>
      <w:r>
        <w:t xml:space="preserve"> </w:t>
      </w:r>
      <w:r>
        <w:t xml:space="preserve">Due upon delivery of the Final Environmental Compliance Certificate and project closeout.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Egypt Cairo</w:t>
      </w:r>
      <w:r>
        <w:t xml:space="preserve">.</w:t>
      </w:r>
    </w:p>
    <w:p>
      <w:pPr>
        <w:numPr>
          <w:ilvl w:val="0"/>
          <w:numId w:val="1003"/>
        </w:numPr>
        <w:pStyle w:val="Compact"/>
      </w:pPr>
      <w:r>
        <w:t xml:space="preserve">All prices are quoted in Egyptian Pounds (EGP) and are inclusive of the</w:t>
      </w:r>
      <w:r>
        <w:t xml:space="preserve"> </w:t>
      </w:r>
      <w:r>
        <w:t xml:space="preserve">Environmental Engineer</w:t>
      </w:r>
      <w:r>
        <w:t xml:space="preserve">'s professional fees, fieldwork, reporting, and coordination. Third-party laboratory costs are itemized separately as shown above.</w:t>
      </w:r>
    </w:p>
    <w:p>
      <w:pPr>
        <w:numPr>
          <w:ilvl w:val="0"/>
          <w:numId w:val="1003"/>
        </w:numPr>
        <w:pStyle w:val="Compact"/>
      </w:pPr>
      <w:r>
        <w:t xml:space="preserve">The</w:t>
      </w:r>
      <w:r>
        <w:t xml:space="preserve"> </w:t>
      </w:r>
      <w:r>
        <w:t xml:space="preserve">Environmental Engineer</w:t>
      </w:r>
      <w:r>
        <w:t xml:space="preserve"> </w:t>
      </w:r>
      <w:r>
        <w:t xml:space="preserve">shall maintain full professional liability insurance with a minimum coverage of EGP 5,000,000 throughout the engagement period.</w:t>
      </w:r>
    </w:p>
    <w:p>
      <w:pPr>
        <w:numPr>
          <w:ilvl w:val="0"/>
          <w:numId w:val="1003"/>
        </w:numPr>
        <w:pStyle w:val="Compact"/>
      </w:pPr>
      <w:r>
        <w:t xml:space="preserve">Any changes to the project scope, site boundaries, or regulatory requirements in</w:t>
      </w:r>
      <w:r>
        <w:t xml:space="preserve"> </w:t>
      </w:r>
      <w:r>
        <w:t xml:space="preserve">Egypt Cairo</w:t>
      </w:r>
      <w:r>
        <w:t xml:space="preserve"> </w:t>
      </w:r>
      <w:r>
        <w:t xml:space="preserve">that materially alter the work described herein shall be subject to a revised</w:t>
      </w:r>
      <w:r>
        <w:t xml:space="preserve"> </w:t>
      </w:r>
      <w:r>
        <w:t xml:space="preserve">Quotation Estimate</w:t>
      </w:r>
      <w:r>
        <w:t xml:space="preserve"> </w:t>
      </w:r>
      <w:r>
        <w:t xml:space="preserve">issued as a formal change order, signed by both parties before additional work commences.</w:t>
      </w:r>
    </w:p>
    <w:p>
      <w:pPr>
        <w:numPr>
          <w:ilvl w:val="0"/>
          <w:numId w:val="1003"/>
        </w:numPr>
        <w:pStyle w:val="Compact"/>
      </w:pPr>
      <w:r>
        <w:t xml:space="preserve">Confidentiality: All data, reports, and site-specific information generated under this engagement shall be treated as strictly confidential by the</w:t>
      </w:r>
      <w:r>
        <w:t xml:space="preserve"> </w:t>
      </w:r>
      <w:r>
        <w:t xml:space="preserve">Environmental Engineer</w:t>
      </w:r>
      <w:r>
        <w:t xml:space="preserve"> </w:t>
      </w:r>
      <w:r>
        <w:t xml:space="preserve">and shall not be disclosed to third parties without written consent from the client.</w:t>
      </w:r>
    </w:p>
    <w:p>
      <w:pPr>
        <w:numPr>
          <w:ilvl w:val="0"/>
          <w:numId w:val="1003"/>
        </w:numPr>
        <w:pStyle w:val="Compact"/>
      </w:pPr>
      <w:r>
        <w:t xml:space="preserve">Governing Law: This agreement and all disputes arising therefrom shall be governed by the laws of the Arab Republic of Egypt. Any unresolved disputes shall be referred to the competent courts in</w:t>
      </w:r>
      <w:r>
        <w:t xml:space="preserve"> </w:t>
      </w:r>
      <w:r>
        <w:t xml:space="preserve">Egypt Cairo</w:t>
      </w:r>
      <w:r>
        <w:t xml:space="preserve">.</w:t>
      </w:r>
    </w:p>
    <w:p>
      <w:pPr>
        <w:numPr>
          <w:ilvl w:val="0"/>
          <w:numId w:val="1003"/>
        </w:numPr>
        <w:pStyle w:val="Compact"/>
      </w:pPr>
      <w:r>
        <w:t xml:space="preserve">The</w:t>
      </w:r>
      <w:r>
        <w:t xml:space="preserve"> </w:t>
      </w:r>
      <w:r>
        <w:t xml:space="preserve">Environmental Engineer</w:t>
      </w:r>
      <w:r>
        <w:t xml:space="preserve"> </w:t>
      </w:r>
      <w:r>
        <w:t xml:space="preserve">reserves the right to withdraw from this engagement with fourteen (14) days' written notice if the client fails to make any scheduled payment within fifteen (15) days of its due date.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that the scope of work described herein accurately reflects the required</w:t>
      </w:r>
      <w:r>
        <w:t xml:space="preserve"> </w:t>
      </w:r>
      <w:r>
        <w:t xml:space="preserve">Environmental Engineer</w:t>
      </w:r>
      <w:r>
        <w:t xml:space="preserve"> </w:t>
      </w:r>
      <w:r>
        <w:t xml:space="preserve">services for the project in</w:t>
      </w:r>
      <w:r>
        <w:t xml:space="preserve"> </w:t>
      </w:r>
      <w:r>
        <w:t xml:space="preserve">Egypt Cairo</w:t>
      </w:r>
      <w:r>
        <w:t xml:space="preserve">, and agrees to the terms, conditions, and payment schedule set forth in this document.</w:t>
      </w:r>
    </w:p>
    <w:p>
      <w:pPr>
        <w:pStyle w:val="BodyText"/>
      </w:pPr>
      <w:r>
        <w:rPr>
          <w:bCs/>
          <w:b/>
        </w:rPr>
        <w:t xml:space="preserve">For Nile Delta Environmental Consulting &amp; Engineering Co.</w:t>
      </w:r>
    </w:p>
    <w:p>
      <w:pPr>
        <w:pStyle w:val="BodyText"/>
      </w:pPr>
      <w:r>
        <w:t xml:space="preserve">Eng. Mahmoud El-Sayed</w:t>
      </w:r>
      <w:r>
        <w:br/>
      </w:r>
      <w:r>
        <w:t xml:space="preserve">Lead Environmental Engineer</w:t>
      </w:r>
      <w:r>
        <w:br/>
      </w:r>
      <w:r>
        <w:t xml:space="preserve">License No. EE-EGY-2019-4472</w:t>
      </w:r>
      <w:r>
        <w:br/>
      </w:r>
      <w:r>
        <w:t xml:space="preserve">Signature &amp; Company Stamp</w:t>
      </w:r>
    </w:p>
    <w:p>
      <w:pPr>
        <w:pStyle w:val="BodyText"/>
      </w:pPr>
      <w:r>
        <w:rPr>
          <w:bCs/>
          <w:b/>
        </w:rPr>
        <w:t xml:space="preserve">For Al-Nile Real Estate Development Group</w:t>
      </w:r>
    </w:p>
    <w:p>
      <w:pPr>
        <w:pStyle w:val="BodyText"/>
      </w:pPr>
      <w:r>
        <w:t xml:space="preserve">Authorized Representative</w:t>
      </w:r>
      <w:r>
        <w:br/>
      </w:r>
      <w:r>
        <w:t xml:space="preserve">Name: _______________________</w:t>
      </w:r>
      <w:r>
        <w:br/>
      </w:r>
      <w:r>
        <w:t xml:space="preserve">Title: _______________________</w:t>
      </w:r>
      <w:r>
        <w:br/>
      </w:r>
      <w:r>
        <w:t xml:space="preserve">Signature &amp; Company Stamp</w:t>
      </w:r>
    </w:p>
    <w:p>
      <w:pPr>
        <w:pStyle w:val="BodyText"/>
      </w:pPr>
      <w:r>
        <w:rPr>
          <w:bCs/>
          <w:b/>
        </w:rPr>
        <w:t xml:space="preserve">Important Note:</w:t>
      </w:r>
      <w:r>
        <w:t xml:space="preserve"> </w:t>
      </w:r>
      <w:r>
        <w:t xml:space="preserve">This Quotation Estimate is a professional document issued by a licensed Environmental Engineer operating under the regulatory framework of the Egyptian Environmental Affairs Agency (EEAA) and the Ministry of Environment, Republic of Egypt. All services described herein are to be performed within the administrative boundaries of Egypt Cairo. This document does not constitute a contract until countersigned by both parties and the advance payment has been received. For any clarifications or amendments, please contact the undersigned Environmental Engineer at the address and contact details provided in the header of this Quotation Estimate.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Egypt Cairo</dc:title>
  <dc:creator/>
  <dc:language>en</dc:language>
  <cp:keywords/>
  <dcterms:created xsi:type="dcterms:W3CDTF">2026-10-10T00:34:12Z</dcterms:created>
  <dcterms:modified xsi:type="dcterms:W3CDTF">2026-10-10T00:34:12Z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