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rPr>
          <w:bCs/>
          <w:b/>
        </w:rPr>
        <w:t xml:space="preserve">GreenSolutions Engineering GmbH</w:t>
      </w:r>
    </w:p>
    <w:p>
      <w:pPr>
        <w:pStyle w:val="BodyText"/>
      </w:pPr>
      <w:r>
        <w:t xml:space="preserve">Environmental Consulting &amp; Engineering Services</w:t>
      </w:r>
    </w:p>
    <w:p>
      <w:pPr>
        <w:pStyle w:val="BodyText"/>
      </w:pPr>
      <w:r>
        <w:t xml:space="preserve">Unter den Linden 45, 10117 Berlin, Germany</w:t>
      </w:r>
    </w:p>
    <w:p>
      <w:pPr>
        <w:pStyle w:val="BodyText"/>
      </w:pPr>
      <w:r>
        <w:t xml:space="preserve">Tel: +49 30 1234 5678 | Email: info@greensolutions-berlin.de</w:t>
      </w:r>
    </w:p>
    <w:p>
      <w:pPr>
        <w:pStyle w:val="BodyText"/>
      </w:pPr>
      <w:r>
        <w:t xml:space="preserve">USt-IdNr: DE 123 456 789</w:t>
      </w:r>
    </w:p>
    <w:bookmarkEnd w:id="20"/>
    <w:p>
      <w:pPr>
        <w:pStyle w:val="BodyText"/>
      </w:pPr>
      <w:r>
        <w:rPr>
          <w:bCs/>
          <w:b/>
        </w:rPr>
        <w:t xml:space="preserve">Quotation No.:</w:t>
      </w:r>
      <w:r>
        <w:t xml:space="preserve"> </w:t>
      </w:r>
      <w:r>
        <w:t xml:space="preserve">QE-2025-0847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Client:</w:t>
      </w:r>
      <w:r>
        <w:t xml:space="preserve"> </w:t>
      </w:r>
      <w:r>
        <w:t xml:space="preserve">Berliner Stadtwerke AG</w:t>
      </w:r>
      <w:r>
        <w:br/>
      </w:r>
      <w:r>
        <w:rPr>
          <w:bCs/>
          <w:b/>
        </w:rPr>
        <w:t xml:space="preserve">Address:</w:t>
      </w:r>
      <w:r>
        <w:t xml:space="preserve"> </w:t>
      </w:r>
      <w:r>
        <w:t xml:space="preserve">Frankfurter Allee 120, 10247 Berlin</w:t>
      </w:r>
      <w:r>
        <w:br/>
      </w:r>
      <w:r>
        <w:rPr>
          <w:bCs/>
          <w:b/>
        </w:rPr>
        <w:t xml:space="preserve">Contact:</w:t>
      </w:r>
      <w:r>
        <w:t xml:space="preserve"> </w:t>
      </w:r>
      <w:r>
        <w:t xml:space="preserve">Dr. Markus Weber, Project Director</w:t>
      </w:r>
    </w:p>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issued by GreenSolutions Engineering GmbH to Berliner Stadtwerke AG for the provision of specialized</w:t>
      </w:r>
      <w:r>
        <w:t xml:space="preserve"> </w:t>
      </w:r>
      <w:r>
        <w:t xml:space="preserve">Environmental Engineer</w:t>
      </w:r>
      <w:r>
        <w:t xml:space="preserve"> </w:t>
      </w:r>
      <w:r>
        <w:t xml:space="preserve">services to be executed within the metropolitan area of</w:t>
      </w:r>
      <w:r>
        <w:t xml:space="preserve"> </w:t>
      </w:r>
      <w:r>
        <w:t xml:space="preserve">Germany Berlin</w:t>
      </w:r>
      <w:r>
        <w:t xml:space="preserve">. The purpose of this document is to outline the scope of work, deliverables, timelines, and associated costs for the environmental assessment and remediation project located in the Spree River industrial corridor, Berlin-Mitte district. This</w:t>
      </w:r>
      <w:r>
        <w:t xml:space="preserve"> </w:t>
      </w:r>
      <w:r>
        <w:t xml:space="preserve">Quotation Estimate</w:t>
      </w:r>
      <w:r>
        <w:t xml:space="preserve"> </w:t>
      </w:r>
      <w:r>
        <w:t xml:space="preserve">constitutes a binding offer for the period specified above and is subject to the terms and conditions detailed herein.</w:t>
      </w:r>
    </w:p>
    <w:bookmarkEnd w:id="21"/>
    <w:bookmarkStart w:id="22" w:name="Xd350703e2d1d65415c4a69472e1843083324849"/>
    <w:p>
      <w:pPr>
        <w:pStyle w:val="Heading2"/>
      </w:pPr>
      <w:r>
        <w:t xml:space="preserve">2. Scope of Work – Environmental Engineer Services in Germany Berlin</w:t>
      </w:r>
    </w:p>
    <w:p>
      <w:pPr>
        <w:pStyle w:val="FirstParagraph"/>
      </w:pPr>
      <w:r>
        <w:t xml:space="preserve">The</w:t>
      </w:r>
      <w:r>
        <w:t xml:space="preserve"> </w:t>
      </w:r>
      <w:r>
        <w:t xml:space="preserve">Environmental Engineer</w:t>
      </w:r>
      <w:r>
        <w:t xml:space="preserve"> </w:t>
      </w:r>
      <w:r>
        <w:t xml:space="preserve">team assigned to this project will deliver the following services in compliance with German federal environmental regulations (BImSchG, WHG, BBodSchV) and the specific municipal bylaws applicable in</w:t>
      </w:r>
      <w:r>
        <w:t xml:space="preserve"> </w:t>
      </w:r>
      <w:r>
        <w:t xml:space="preserve">Germany Berlin</w:t>
      </w:r>
      <w:r>
        <w:t xml:space="preserve">:</w:t>
      </w:r>
    </w:p>
    <w:p>
      <w:pPr>
        <w:numPr>
          <w:ilvl w:val="0"/>
          <w:numId w:val="1001"/>
        </w:numPr>
        <w:pStyle w:val="Compact"/>
      </w:pPr>
      <w:r>
        <w:rPr>
          <w:bCs/>
          <w:b/>
        </w:rPr>
        <w:t xml:space="preserve">Phase I Environmental Site Assessment:</w:t>
      </w:r>
      <w:r>
        <w:t xml:space="preserve"> </w:t>
      </w:r>
      <w:r>
        <w:t xml:space="preserve">Comprehensive desk study, historical land-use analysis, and regulatory database review for the 12-hectare industrial parcel in Berlin-Mitte, including identification of potential contamination pathways relevant to the Spree River watershed.</w:t>
      </w:r>
    </w:p>
    <w:p>
      <w:pPr>
        <w:numPr>
          <w:ilvl w:val="0"/>
          <w:numId w:val="1001"/>
        </w:numPr>
        <w:pStyle w:val="Compact"/>
      </w:pPr>
      <w:r>
        <w:rPr>
          <w:bCs/>
          <w:b/>
        </w:rPr>
        <w:t xml:space="preserve">Phase II Soil and Groundwater Investigation:</w:t>
      </w:r>
      <w:r>
        <w:t xml:space="preserve"> </w:t>
      </w:r>
      <w:r>
        <w:t xml:space="preserve">Borehole drilling (minimum 24 locations), soil sampling at depths of 0–15 meters, groundwater monitoring well installation, and laboratory analysis for heavy metals, PAHs, VOCs, and petroleum hydrocarbons in accordance with DIN EN ISO 18400 and DIN 38402 standards.</w:t>
      </w:r>
    </w:p>
    <w:p>
      <w:pPr>
        <w:numPr>
          <w:ilvl w:val="0"/>
          <w:numId w:val="1001"/>
        </w:numPr>
        <w:pStyle w:val="Compact"/>
      </w:pPr>
      <w:r>
        <w:rPr>
          <w:bCs/>
          <w:b/>
        </w:rPr>
        <w:t xml:space="preserve">Environmental Impact Assessment (EIA):</w:t>
      </w:r>
      <w:r>
        <w:t xml:space="preserve"> </w:t>
      </w:r>
      <w:r>
        <w:t xml:space="preserve">Preparation of a full EIA report as required under the German Federal Immission Control Act (BImSchG) for the proposed redevelopment of the site, including air quality modeling, noise impact analysis, biodiversity survey, and cumulative effects assessment specific to the</w:t>
      </w:r>
      <w:r>
        <w:t xml:space="preserve"> </w:t>
      </w:r>
      <w:r>
        <w:t xml:space="preserve">Germany Berlin</w:t>
      </w:r>
      <w:r>
        <w:t xml:space="preserve"> </w:t>
      </w:r>
      <w:r>
        <w:t xml:space="preserve">urban context.</w:t>
      </w:r>
    </w:p>
    <w:p>
      <w:pPr>
        <w:numPr>
          <w:ilvl w:val="0"/>
          <w:numId w:val="1001"/>
        </w:numPr>
        <w:pStyle w:val="Compact"/>
      </w:pPr>
      <w:r>
        <w:rPr>
          <w:bCs/>
          <w:b/>
        </w:rPr>
        <w:t xml:space="preserve">Remediation Concept and Cost Estimation:</w:t>
      </w:r>
      <w:r>
        <w:t xml:space="preserve"> </w:t>
      </w:r>
      <w:r>
        <w:t xml:space="preserve">Development of a technically feasible and economically viable soil and groundwater remediation strategy, including pump-and-treat system design, in-situ chemical oxidation feasibility study, and long-term monitoring plan.</w:t>
      </w:r>
    </w:p>
    <w:p>
      <w:pPr>
        <w:numPr>
          <w:ilvl w:val="0"/>
          <w:numId w:val="1001"/>
        </w:numPr>
        <w:pStyle w:val="Compact"/>
      </w:pPr>
      <w:r>
        <w:rPr>
          <w:bCs/>
          <w:b/>
        </w:rPr>
        <w:t xml:space="preserve">Regulatory Liaison and Permitting Support:</w:t>
      </w:r>
      <w:r>
        <w:t xml:space="preserve"> </w:t>
      </w:r>
      <w:r>
        <w:t xml:space="preserve">Coordination with the Berliner Landesamt für Umwelt, Gesundheit und Verbraucherschutz (LUGV) and the responsible Wasserwirtschaftsamt for all necessary environmental permits and approvals within</w:t>
      </w:r>
      <w:r>
        <w:t xml:space="preserve"> </w:t>
      </w:r>
      <w:r>
        <w:t xml:space="preserve">Germany Berlin</w:t>
      </w:r>
      <w:r>
        <w:t xml:space="preserve">.</w:t>
      </w:r>
    </w:p>
    <w:p>
      <w:pPr>
        <w:numPr>
          <w:ilvl w:val="0"/>
          <w:numId w:val="1001"/>
        </w:numPr>
        <w:pStyle w:val="Compact"/>
      </w:pPr>
      <w:r>
        <w:rPr>
          <w:bCs/>
          <w:b/>
        </w:rPr>
        <w:t xml:space="preserve">Stakeholder Engagement and Public Consultation:</w:t>
      </w:r>
      <w:r>
        <w:t xml:space="preserve"> </w:t>
      </w:r>
      <w:r>
        <w:t xml:space="preserve">Organization and facilitation of at least two public information sessions in accordance with the Berlin Environmental Impact Assessment Ordinance, including preparation of multilingual (German/English) summary documents.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1.1</w:t>
            </w:r>
          </w:p>
        </w:tc>
        <w:tc>
          <w:tcPr/>
          <w:p>
            <w:pPr>
              <w:pStyle w:val="Compact"/>
              <w:jc w:val="left"/>
            </w:pPr>
            <w:r>
              <w:t xml:space="preserve">Phase I Environmental Site Assessment (desk study, site walkover, database review)</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1.2</w:t>
            </w:r>
          </w:p>
        </w:tc>
        <w:tc>
          <w:tcPr/>
          <w:p>
            <w:pPr>
              <w:pStyle w:val="Compact"/>
              <w:jc w:val="left"/>
            </w:pPr>
            <w:r>
              <w:t xml:space="preserve">Phase II Investigation – Borehole drilling and sampling (24 locations)</w:t>
            </w:r>
          </w:p>
        </w:tc>
        <w:tc>
          <w:tcPr/>
          <w:p>
            <w:pPr>
              <w:pStyle w:val="Compact"/>
              <w:jc w:val="left"/>
            </w:pPr>
            <w:r>
              <w:t xml:space="preserve">Location</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1.3</w:t>
            </w:r>
          </w:p>
        </w:tc>
        <w:tc>
          <w:tcPr/>
          <w:p>
            <w:pPr>
              <w:pStyle w:val="Compact"/>
              <w:jc w:val="left"/>
            </w:pPr>
            <w:r>
              <w:t xml:space="preserve">Laboratory analysis (soil, groundwater, heavy metals, PAHs, VOCs)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1.4</w:t>
            </w:r>
          </w:p>
        </w:tc>
        <w:tc>
          <w:tcPr/>
          <w:p>
            <w:pPr>
              <w:pStyle w:val="Compact"/>
              <w:jc w:val="left"/>
            </w:pPr>
            <w:r>
              <w:t xml:space="preserve">Environmental Impact Assessment report preparation and submission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1.5</w:t>
            </w:r>
          </w:p>
        </w:tc>
        <w:tc>
          <w:tcPr/>
          <w:p>
            <w:pPr>
              <w:pStyle w:val="Compact"/>
              <w:jc w:val="left"/>
            </w:pPr>
            <w:r>
              <w:t xml:space="preserve">Remediation concept, system design, and cost estimation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1.6</w:t>
            </w:r>
          </w:p>
        </w:tc>
        <w:tc>
          <w:tcPr/>
          <w:p>
            <w:pPr>
              <w:pStyle w:val="Compact"/>
              <w:jc w:val="left"/>
            </w:pPr>
            <w:r>
              <w:t xml:space="preserve">Regulatory liaison, permit application support, and LUGV coordination</w:t>
            </w:r>
          </w:p>
        </w:tc>
        <w:tc>
          <w:tcPr/>
          <w:p>
            <w:pPr>
              <w:pStyle w:val="Compact"/>
              <w:jc w:val="left"/>
            </w:pPr>
            <w:r>
              <w:t xml:space="preserve">Month</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1.7</w:t>
            </w:r>
          </w:p>
        </w:tc>
        <w:tc>
          <w:tcPr/>
          <w:p>
            <w:pPr>
              <w:pStyle w:val="Compact"/>
              <w:jc w:val="left"/>
            </w:pPr>
            <w:r>
              <w:t xml:space="preserve">Stakeholder engagement, public consultation (2 sessions), and reporting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1.8</w:t>
            </w:r>
          </w:p>
        </w:tc>
        <w:tc>
          <w:tcPr/>
          <w:p>
            <w:pPr>
              <w:pStyle w:val="Compact"/>
              <w:jc w:val="left"/>
            </w:pPr>
            <w:r>
              <w:t xml:space="preserve">Project management, quality assurance, and final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1.9</w:t>
            </w:r>
          </w:p>
        </w:tc>
        <w:tc>
          <w:tcPr/>
          <w:p>
            <w:pPr>
              <w:pStyle w:val="Compact"/>
              <w:jc w:val="left"/>
            </w:pPr>
            <w:r>
              <w:t xml:space="preserve">Travel, field equipment, and miscellaneous operational costs within Germany Berlin</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left"/>
            </w:pPr>
            <w:r>
              <w:t xml:space="preserve">Subtotal (net)</w:t>
            </w:r>
          </w:p>
        </w:tc>
        <w:tc>
          <w:tcPr/>
          <w:p>
            <w:pPr>
              <w:pStyle w:val="Compact"/>
              <w:jc w:val="left"/>
            </w:pPr>
            <w:r>
              <w:t xml:space="preserve">188,650.00</w:t>
            </w:r>
          </w:p>
        </w:tc>
      </w:tr>
      <w:tr>
        <w:tc>
          <w:tcPr>
            <w:gridSpan w:val="5"/>
          </w:tcPr>
          <w:p>
            <w:pPr>
              <w:pStyle w:val="Compact"/>
              <w:jc w:val="left"/>
            </w:pPr>
            <w:r>
              <w:t xml:space="preserve">VAT (19% – German standard rate)</w:t>
            </w:r>
          </w:p>
        </w:tc>
        <w:tc>
          <w:tcPr/>
          <w:p>
            <w:pPr>
              <w:pStyle w:val="Compact"/>
              <w:jc w:val="left"/>
            </w:pPr>
            <w:r>
              <w:t xml:space="preserve">35,843.50</w:t>
            </w:r>
          </w:p>
        </w:tc>
      </w:tr>
      <w:tr>
        <w:tc>
          <w:tcPr>
            <w:gridSpan w:val="5"/>
          </w:tcPr>
          <w:p>
            <w:pPr>
              <w:pStyle w:val="Compact"/>
              <w:jc w:val="left"/>
            </w:pPr>
            <w:r>
              <w:t xml:space="preserve">TOTAL (gross)</w:t>
            </w:r>
          </w:p>
        </w:tc>
        <w:tc>
          <w:tcPr/>
          <w:p>
            <w:pPr>
              <w:pStyle w:val="Compact"/>
              <w:jc w:val="left"/>
            </w:pPr>
            <w:r>
              <w:t xml:space="preserve">224,493.50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Environmental Engineer</w:t>
      </w:r>
      <w:r>
        <w:t xml:space="preserve"> </w:t>
      </w:r>
      <w:r>
        <w:t xml:space="preserve">engagement is anticipated to span a total duration of</w:t>
      </w:r>
      <w:r>
        <w:t xml:space="preserve"> </w:t>
      </w:r>
      <w:r>
        <w:rPr>
          <w:bCs/>
          <w:b/>
        </w:rPr>
        <w:t xml:space="preserve">14 calendar months</w:t>
      </w:r>
      <w:r>
        <w:t xml:space="preserve"> </w:t>
      </w:r>
      <w:r>
        <w:t xml:space="preserve">from the date of contract award. The Phase I assessment will be completed within the first 6 weeks. Phase II fieldwork and laboratory analysis will follow over a 12-week period. The EIA report preparation and regulatory review phase is estimated at 6 months, with the remediation concept and final deliverables to be submitted within the remaining 4 months. All milestones are subject to the approval timelines of the relevant</w:t>
      </w:r>
      <w:r>
        <w:t xml:space="preserve"> </w:t>
      </w:r>
      <w:r>
        <w:t xml:space="preserve">Germany Berlin</w:t>
      </w:r>
      <w:r>
        <w:t xml:space="preserve"> </w:t>
      </w:r>
      <w:r>
        <w:t xml:space="preserve">authorities.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Upon expiry, all rates and conditions must be renegotiated.</w:t>
      </w:r>
    </w:p>
    <w:p>
      <w:pPr>
        <w:numPr>
          <w:ilvl w:val="0"/>
          <w:numId w:val="1002"/>
        </w:numPr>
        <w:pStyle w:val="Compact"/>
      </w:pPr>
      <w:r>
        <w:t xml:space="preserve">Payment terms: 30% advance payment upon contract signing, 40% upon completion of Phase II investigation, and 30% upon delivery of the final EIA report and remediation concept. Invoices are payable within 14 days of receipt.</w:t>
      </w:r>
    </w:p>
    <w:p>
      <w:pPr>
        <w:numPr>
          <w:ilvl w:val="0"/>
          <w:numId w:val="1002"/>
        </w:numPr>
        <w:pStyle w:val="Compact"/>
      </w:pPr>
      <w:r>
        <w:t xml:space="preserve">All work shall be performed in strict compliance with German environmental legislation, including the Federal-Immission-Control Act (BImSchG), the Federal Soil and Contaminated Sites Ordinance (BBodSchV), and the Berlin-specific environmental regulations applicable in</w:t>
      </w:r>
      <w:r>
        <w:t xml:space="preserve"> </w:t>
      </w:r>
      <w:r>
        <w:t xml:space="preserve">Germany Berlin</w:t>
      </w:r>
      <w:r>
        <w:t xml:space="preserve">.</w:t>
      </w:r>
    </w:p>
    <w:p>
      <w:pPr>
        <w:numPr>
          <w:ilvl w:val="0"/>
          <w:numId w:val="1002"/>
        </w:numPr>
        <w:pStyle w:val="Compact"/>
      </w:pPr>
      <w:r>
        <w:t xml:space="preserve">The</w:t>
      </w:r>
      <w:r>
        <w:t xml:space="preserve"> </w:t>
      </w:r>
      <w:r>
        <w:t xml:space="preserve">Environmental Engineer</w:t>
      </w:r>
      <w:r>
        <w:t xml:space="preserve"> </w:t>
      </w:r>
      <w:r>
        <w:t xml:space="preserve">team shall maintain professional liability insurance with a minimum coverage of EUR 5,000,000 per claim throughout the project duration.</w:t>
      </w:r>
    </w:p>
    <w:p>
      <w:pPr>
        <w:numPr>
          <w:ilvl w:val="0"/>
          <w:numId w:val="1002"/>
        </w:numPr>
        <w:pStyle w:val="Compact"/>
      </w:pPr>
      <w:r>
        <w:t xml:space="preserve">Any changes to the scope of work must be documented in a written change order signed by both parties before execution. Adjustments to the</w:t>
      </w:r>
      <w:r>
        <w:t xml:space="preserve"> </w:t>
      </w:r>
      <w:r>
        <w:t xml:space="preserve">Quotation Estimate</w:t>
      </w:r>
      <w:r>
        <w:t xml:space="preserve"> </w:t>
      </w:r>
      <w:r>
        <w:t xml:space="preserve">total will be applied proportionally.</w:t>
      </w:r>
    </w:p>
    <w:p>
      <w:pPr>
        <w:numPr>
          <w:ilvl w:val="0"/>
          <w:numId w:val="1002"/>
        </w:numPr>
        <w:pStyle w:val="Compact"/>
      </w:pPr>
      <w:r>
        <w:t xml:space="preserve">Confidentiality: All data, reports, and findings generated under this engagement are the exclusive property of the client. The</w:t>
      </w:r>
      <w:r>
        <w:t xml:space="preserve"> </w:t>
      </w:r>
      <w:r>
        <w:t xml:space="preserve">Environmental Engineer</w:t>
      </w:r>
      <w:r>
        <w:t xml:space="preserve"> </w:t>
      </w:r>
      <w:r>
        <w:t xml:space="preserve">team agrees to a non-disclosure obligation extending 5 years beyond project completion.</w:t>
      </w:r>
    </w:p>
    <w:p>
      <w:pPr>
        <w:numPr>
          <w:ilvl w:val="0"/>
          <w:numId w:val="1002"/>
        </w:numPr>
        <w:pStyle w:val="Compact"/>
      </w:pPr>
      <w:r>
        <w:t xml:space="preserve">Dispute resolution: Any disputes arising from this</w:t>
      </w:r>
      <w:r>
        <w:t xml:space="preserve"> </w:t>
      </w:r>
      <w:r>
        <w:t xml:space="preserve">Quotation Estimate</w:t>
      </w:r>
      <w:r>
        <w:t xml:space="preserve"> </w:t>
      </w:r>
      <w:r>
        <w:t xml:space="preserve">or the resulting contract shall be resolved through mediation in Berlin, Germany, in accordance with the rules of the Berlin Arbitration Institute. The governing law is the law of the Federal Republic of Germany.</w:t>
      </w:r>
    </w:p>
    <w:p>
      <w:pPr>
        <w:numPr>
          <w:ilvl w:val="0"/>
          <w:numId w:val="1002"/>
        </w:numPr>
        <w:pStyle w:val="Compact"/>
      </w:pPr>
      <w:r>
        <w:t xml:space="preserve">Force majeure events, including but not limited to extreme weather conditions affecting fieldwork in</w:t>
      </w:r>
      <w:r>
        <w:t xml:space="preserve"> </w:t>
      </w:r>
      <w:r>
        <w:t xml:space="preserve">Germany Berlin</w:t>
      </w:r>
      <w:r>
        <w:t xml:space="preserve">, shall extend the project timeline on a day-for-day basis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of work, pricing, and terms outlined herein for the engagement of the</w:t>
      </w:r>
      <w:r>
        <w:t xml:space="preserve"> </w:t>
      </w:r>
      <w:r>
        <w:t xml:space="preserve">Environmental Engineer</w:t>
      </w:r>
      <w:r>
        <w:t xml:space="preserve"> </w:t>
      </w:r>
      <w:r>
        <w:t xml:space="preserve">services in</w:t>
      </w:r>
      <w:r>
        <w:t xml:space="preserve"> </w:t>
      </w:r>
      <w:r>
        <w:t xml:space="preserve">Germany Berlin</w:t>
      </w:r>
      <w:r>
        <w:t xml:space="preserve">.</w:t>
      </w:r>
    </w:p>
    <w:p>
      <w:pPr>
        <w:pStyle w:val="BodyText"/>
      </w:pPr>
      <w:r>
        <w:rPr>
          <w:bCs/>
          <w:b/>
        </w:rPr>
        <w:t xml:space="preserve">For GreenSolutions Engineering GmbH</w:t>
      </w:r>
    </w:p>
    <w:p>
      <w:pPr>
        <w:pStyle w:val="BodyText"/>
      </w:pPr>
      <w:r>
        <w:t xml:space="preserve">Dr. Anna Schmidt, Managing Director</w:t>
      </w:r>
      <w:r>
        <w:br/>
      </w:r>
      <w:r>
        <w:t xml:space="preserve">Date: _______________</w:t>
      </w:r>
    </w:p>
    <w:p>
      <w:pPr>
        <w:pStyle w:val="BodyText"/>
      </w:pPr>
      <w:r>
        <w:rPr>
          <w:bCs/>
          <w:b/>
        </w:rPr>
        <w:t xml:space="preserve">For Berliner Stadtwerke AG (Client)</w:t>
      </w:r>
    </w:p>
    <w:p>
      <w:pPr>
        <w:pStyle w:val="BodyText"/>
      </w:pPr>
      <w:r>
        <w:t xml:space="preserve">Dr. Markus Weber, Project Director</w:t>
      </w:r>
      <w:r>
        <w:br/>
      </w:r>
      <w:r>
        <w:t xml:space="preserve">Date: _______________</w:t>
      </w:r>
    </w:p>
    <w:p>
      <w:pPr>
        <w:pStyle w:val="BodyText"/>
      </w:pPr>
      <w:r>
        <w:t xml:space="preserve">GreenSolutions Engineering GmbH | Unter den Linden 45, 10117 Berlin, Germany | HRB 123456 B, Amtsgericht Charlottenburg</w:t>
      </w:r>
    </w:p>
    <w:p>
      <w:pPr>
        <w:pStyle w:val="BodyText"/>
      </w:pPr>
      <w:r>
        <w:t xml:space="preserve">This Quotation Estimate QE-2025-0847 is issued exclusively for the named client and may not be reproduced or distributed without prior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Germany Berlin</dc:title>
  <dc:creator/>
  <dc:language>en</dc:language>
  <cp:keywords/>
  <dcterms:created xsi:type="dcterms:W3CDTF">2026-10-10T02:38:56Z</dcterms:created>
  <dcterms:modified xsi:type="dcterms:W3CDTF">2026-10-10T02:38:56Z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