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Prepared for Projects in Indonesia Jakarta</w:t>
      </w:r>
    </w:p>
    <w:p>
      <w:pPr>
        <w:pStyle w:val="BodyText"/>
      </w:pPr>
      <w:r>
        <w:t xml:space="preserve">Document Reference: QE-ENV-JKT-2025-0047 | Classification: Commercial</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Indonesian Rupiah (IDR)</w:t>
      </w:r>
    </w:p>
    <w:p>
      <w:pPr>
        <w:pStyle w:val="BodyText"/>
      </w:pPr>
      <w:r>
        <w:rPr>
          <w:bCs/>
          <w:b/>
        </w:rPr>
        <w:t xml:space="preserve">Prepared By:</w:t>
      </w:r>
      <w:r>
        <w:t xml:space="preserve"> </w:t>
      </w:r>
      <w:r>
        <w:t xml:space="preserve">Nusantara Environmental Consulting</w:t>
      </w:r>
    </w:p>
    <w:p>
      <w:pPr>
        <w:pStyle w:val="BodyText"/>
      </w:pPr>
      <w:r>
        <w:rPr>
          <w:bCs/>
          <w:b/>
        </w:rPr>
        <w:t xml:space="preserve">Location:</w:t>
      </w:r>
      <w:r>
        <w:t xml:space="preserve"> </w:t>
      </w:r>
      <w:r>
        <w:t xml:space="preserve">Jakarta, Indonesia</w:t>
      </w:r>
    </w:p>
    <w:p>
      <w:pPr>
        <w:pStyle w:val="BodyText"/>
      </w:pPr>
      <w:r>
        <w:rPr>
          <w:bCs/>
          <w:b/>
        </w:rPr>
        <w:t xml:space="preserve">Version:</w:t>
      </w:r>
      <w:r>
        <w:t xml:space="preserve"> </w:t>
      </w:r>
      <w:r>
        <w:t xml:space="preserve">1.0</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Nusantara Environmental Consulting PT</w:t>
      </w:r>
    </w:p>
    <w:p>
      <w:pPr>
        <w:pStyle w:val="BodyText"/>
      </w:pPr>
      <w:r>
        <w:rPr>
          <w:bCs/>
          <w:b/>
        </w:rPr>
        <w:t xml:space="preserve">Address:</w:t>
      </w:r>
      <w:r>
        <w:t xml:space="preserve"> </w:t>
      </w:r>
      <w:r>
        <w:t xml:space="preserve">Menara Sudirman, 28th Floor, Jl. Jend. Sudirman Kav. 45-46, Jakarta Selatan, Indonesia Jakarta 12190</w:t>
      </w:r>
    </w:p>
    <w:p>
      <w:pPr>
        <w:pStyle w:val="BodyText"/>
      </w:pPr>
      <w:r>
        <w:rPr>
          <w:bCs/>
          <w:b/>
        </w:rPr>
        <w:t xml:space="preserve">Contact:</w:t>
      </w:r>
      <w:r>
        <w:t xml:space="preserve"> </w:t>
      </w:r>
      <w:r>
        <w:t xml:space="preserve">+62 21 5550 1234</w:t>
      </w:r>
    </w:p>
    <w:p>
      <w:pPr>
        <w:pStyle w:val="BodyText"/>
      </w:pPr>
      <w:r>
        <w:rPr>
          <w:bCs/>
          <w:b/>
        </w:rPr>
        <w:t xml:space="preserve">Email:</w:t>
      </w:r>
      <w:r>
        <w:t xml:space="preserve"> </w:t>
      </w:r>
      <w:r>
        <w:t xml:space="preserve">quotation@nusantara-env.co.id</w:t>
      </w:r>
    </w:p>
    <w:p>
      <w:pPr>
        <w:pStyle w:val="BodyText"/>
      </w:pPr>
      <w:r>
        <w:rPr>
          <w:bCs/>
          <w:b/>
        </w:rPr>
        <w:t xml:space="preserve">License No.:</w:t>
      </w:r>
      <w:r>
        <w:t xml:space="preserve"> </w:t>
      </w:r>
      <w:r>
        <w:t xml:space="preserve">KBLI 7112-001 (Environmental Engineering)</w:t>
      </w:r>
    </w:p>
    <w:bookmarkEnd w:id="21"/>
    <w:bookmarkStart w:id="22" w:name="client-recipient"/>
    <w:p>
      <w:pPr>
        <w:pStyle w:val="Heading3"/>
      </w:pPr>
      <w:r>
        <w:t xml:space="preserve">Client / Recipient</w:t>
      </w:r>
    </w:p>
    <w:p>
      <w:pPr>
        <w:pStyle w:val="FirstParagraph"/>
      </w:pPr>
      <w:r>
        <w:rPr>
          <w:bCs/>
          <w:b/>
        </w:rPr>
        <w:t xml:space="preserve">Company:</w:t>
      </w:r>
      <w:r>
        <w:t xml:space="preserve"> </w:t>
      </w:r>
      <w:r>
        <w:t xml:space="preserve">[Client Company Name] PT</w:t>
      </w:r>
    </w:p>
    <w:p>
      <w:pPr>
        <w:pStyle w:val="BodyText"/>
      </w:pPr>
      <w:r>
        <w:rPr>
          <w:bCs/>
          <w:b/>
        </w:rPr>
        <w:t xml:space="preserve">Address:</w:t>
      </w:r>
      <w:r>
        <w:t xml:space="preserve"> </w:t>
      </w:r>
      <w:r>
        <w:t xml:space="preserve">[Client Address], Indonesia Jakarta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[client.email@company.co.id]</w:t>
      </w:r>
    </w:p>
    <w:p>
      <w:pPr>
        <w:pStyle w:val="BodyText"/>
      </w:pPr>
      <w:r>
        <w:rPr>
          <w:bCs/>
          <w:b/>
        </w:rPr>
        <w:t xml:space="preserve">Project Reference:</w:t>
      </w:r>
      <w:r>
        <w:t xml:space="preserve"> </w:t>
      </w:r>
      <w:r>
        <w:t xml:space="preserve">[Project Code]</w:t>
      </w:r>
    </w:p>
    <w:bookmarkEnd w:id="22"/>
    <w:p>
      <w:pPr>
        <w:pStyle w:val="BodyText"/>
      </w:pPr>
      <w:r>
        <w:t xml:space="preserve">2. Scope of Work – Environmental Engineer Services in Indonesia Jakarta</w:t>
      </w:r>
    </w:p>
    <w:p>
      <w:pPr>
        <w:pStyle w:val="BodyText"/>
      </w:pPr>
      <w:r>
        <w:t xml:space="preserve">This</w:t>
      </w:r>
      <w:r>
        <w:t xml:space="preserve"> </w:t>
      </w:r>
      <w:r>
        <w:t xml:space="preserve">Quotation Estimate</w:t>
      </w:r>
      <w:r>
        <w:t xml:space="preserve"> </w:t>
      </w:r>
      <w:r>
        <w:t xml:space="preserve">is issued by Nusantara Environmental Consulting PT to provide a comprehensive breakdown of professional fees for the engagement of a qualified</w:t>
      </w:r>
      <w:r>
        <w:t xml:space="preserve"> </w:t>
      </w:r>
      <w:r>
        <w:t xml:space="preserve">Environmental Engineer</w:t>
      </w:r>
      <w:r>
        <w:t xml:space="preserve"> </w:t>
      </w:r>
      <w:r>
        <w:t xml:space="preserve">to deliver environmental compliance, impact assessment, and sustainability advisory services for a commercial development project located in</w:t>
      </w:r>
      <w:r>
        <w:t xml:space="preserve"> </w:t>
      </w:r>
      <w:r>
        <w:t xml:space="preserve">Indonesia Jakarta</w:t>
      </w:r>
      <w:r>
        <w:t xml:space="preserve">. The scope encompasses all regulatory requirements mandated by the Ministry of Environment and Forestry (KLHK) of the Republic of Indonesia, as well as local Jakarta Provincial Environmental Agency (DLH DKI Jakarta) regulations.</w:t>
      </w:r>
    </w:p>
    <w:p>
      <w:pPr>
        <w:pStyle w:val="BodyText"/>
      </w:pPr>
      <w:r>
        <w:t xml:space="preserve">The</w:t>
      </w:r>
      <w:r>
        <w:t xml:space="preserve"> </w:t>
      </w:r>
      <w:r>
        <w:t xml:space="preserve">Environmental Engineer</w:t>
      </w:r>
      <w:r>
        <w:t xml:space="preserve"> </w:t>
      </w:r>
      <w:r>
        <w:t xml:space="preserve">assigned to this project will hold a minimum of ten (10) years of professional experience in environmental consulting within the Indonesia Jakarta metropolitan area, possess a valid professional certification (Sertifikat Profesi) from the Indonesian Institute of Environmental Engineers (IATSI), and be fully familiar with the AMDAL (Analisis Mengenai Dampak Lingkungan) process, UKL-UPL documentation, and the latest Permen LHK regulations applicable to the Indonesia Jakarta region.</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Rate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Environmental Impact Assessment (AMDAL) preparation and submission for the Indonesia Jakarta project site, including baseline environmental data collection (air, water, soil, noise, biodiversity)</w:t>
            </w:r>
          </w:p>
        </w:tc>
        <w:tc>
          <w:tcPr/>
          <w:p>
            <w:pPr>
              <w:pStyle w:val="Compact"/>
              <w:jc w:val="left"/>
            </w:pPr>
            <w:r>
              <w:t xml:space="preserve">60 days</w:t>
            </w:r>
          </w:p>
        </w:tc>
        <w:tc>
          <w:tcPr/>
          <w:p>
            <w:pPr>
              <w:pStyle w:val="Compact"/>
              <w:jc w:val="left"/>
            </w:pPr>
            <w:r>
              <w:t xml:space="preserve">Lump Sum</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UKL-UPL (Environmental Management &amp; Monitoring Plan) documentation and regulatory filing with DLH DKI Jakarta</w:t>
            </w:r>
          </w:p>
        </w:tc>
        <w:tc>
          <w:tcPr/>
          <w:p>
            <w:pPr>
              <w:pStyle w:val="Compact"/>
              <w:jc w:val="left"/>
            </w:pPr>
            <w:r>
              <w:t xml:space="preserve">30 days</w:t>
            </w:r>
          </w:p>
        </w:tc>
        <w:tc>
          <w:tcPr/>
          <w:p>
            <w:pPr>
              <w:pStyle w:val="Compact"/>
              <w:jc w:val="left"/>
            </w:pPr>
            <w:r>
              <w:t xml:space="preserve">Lump Sum</w:t>
            </w:r>
          </w:p>
        </w:tc>
        <w:tc>
          <w:tcPr/>
          <w:p>
            <w:pPr>
              <w:pStyle w:val="Compact"/>
              <w:jc w:val="left"/>
            </w:pPr>
            <w:r>
              <w:t xml:space="preserve">220,000,000</w:t>
            </w:r>
          </w:p>
        </w:tc>
        <w:tc>
          <w:tcPr/>
          <w:p>
            <w:pPr>
              <w:pStyle w:val="Compact"/>
              <w:jc w:val="left"/>
            </w:pPr>
            <w:r>
              <w:t xml:space="preserve">220,000,000</w:t>
            </w:r>
          </w:p>
        </w:tc>
      </w:tr>
      <w:tr>
        <w:tc>
          <w:tcPr/>
          <w:p>
            <w:pPr>
              <w:pStyle w:val="Compact"/>
              <w:jc w:val="left"/>
            </w:pPr>
            <w:r>
              <w:t xml:space="preserve">3</w:t>
            </w:r>
          </w:p>
        </w:tc>
        <w:tc>
          <w:tcPr/>
          <w:p>
            <w:pPr>
              <w:pStyle w:val="Compact"/>
              <w:jc w:val="left"/>
            </w:pPr>
            <w:r>
              <w:t xml:space="preserve">On-site Environmental Engineer supervision during construction phase – weekly site visits, compliance monitoring, and progress reporting</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35,000,000</w:t>
            </w:r>
          </w:p>
        </w:tc>
        <w:tc>
          <w:tcPr/>
          <w:p>
            <w:pPr>
              <w:pStyle w:val="Compact"/>
              <w:jc w:val="left"/>
            </w:pPr>
            <w:r>
              <w:t xml:space="preserve">420,000,000</w:t>
            </w:r>
          </w:p>
        </w:tc>
      </w:tr>
      <w:tr>
        <w:tc>
          <w:tcPr/>
          <w:p>
            <w:pPr>
              <w:pStyle w:val="Compact"/>
              <w:jc w:val="left"/>
            </w:pPr>
            <w:r>
              <w:t xml:space="preserve">4</w:t>
            </w:r>
          </w:p>
        </w:tc>
        <w:tc>
          <w:tcPr/>
          <w:p>
            <w:pPr>
              <w:pStyle w:val="Compact"/>
              <w:jc w:val="left"/>
            </w:pPr>
            <w:r>
              <w:t xml:space="preserve">Waste management system design and solid waste characterization study specific to Indonesia Jakarta municipal regulations (Perda DKI Jakarta No. 1/2022)</w:t>
            </w:r>
          </w:p>
        </w:tc>
        <w:tc>
          <w:tcPr/>
          <w:p>
            <w:pPr>
              <w:pStyle w:val="Compact"/>
              <w:jc w:val="left"/>
            </w:pPr>
            <w:r>
              <w:t xml:space="preserve">45 days</w:t>
            </w:r>
          </w:p>
        </w:tc>
        <w:tc>
          <w:tcPr/>
          <w:p>
            <w:pPr>
              <w:pStyle w:val="Compact"/>
              <w:jc w:val="left"/>
            </w:pPr>
            <w:r>
              <w:t xml:space="preserve">Lump Sum</w:t>
            </w:r>
          </w:p>
        </w:tc>
        <w:tc>
          <w:tcPr/>
          <w:p>
            <w:pPr>
              <w:pStyle w:val="Compact"/>
              <w:jc w:val="left"/>
            </w:pPr>
            <w:r>
              <w:t xml:space="preserve">175,000,000</w:t>
            </w:r>
          </w:p>
        </w:tc>
        <w:tc>
          <w:tcPr/>
          <w:p>
            <w:pPr>
              <w:pStyle w:val="Compact"/>
              <w:jc w:val="left"/>
            </w:pPr>
            <w:r>
              <w:t xml:space="preserve">175,000,000</w:t>
            </w:r>
          </w:p>
        </w:tc>
      </w:tr>
      <w:tr>
        <w:tc>
          <w:tcPr/>
          <w:p>
            <w:pPr>
              <w:pStyle w:val="Compact"/>
              <w:jc w:val="left"/>
            </w:pPr>
            <w:r>
              <w:t xml:space="preserve">5</w:t>
            </w:r>
          </w:p>
        </w:tc>
        <w:tc>
          <w:tcPr/>
          <w:p>
            <w:pPr>
              <w:pStyle w:val="Compact"/>
              <w:jc w:val="left"/>
            </w:pPr>
            <w:r>
              <w:t xml:space="preserve">Stormwater and wastewater treatment system design in compliance with Indonesia Jakarta drainage infrastructure standards</w:t>
            </w:r>
          </w:p>
        </w:tc>
        <w:tc>
          <w:tcPr/>
          <w:p>
            <w:pPr>
              <w:pStyle w:val="Compact"/>
              <w:jc w:val="left"/>
            </w:pPr>
            <w:r>
              <w:t xml:space="preserve">40 days</w:t>
            </w:r>
          </w:p>
        </w:tc>
        <w:tc>
          <w:tcPr/>
          <w:p>
            <w:pPr>
              <w:pStyle w:val="Compact"/>
              <w:jc w:val="left"/>
            </w:pPr>
            <w:r>
              <w:t xml:space="preserve">Lump Sum</w:t>
            </w:r>
          </w:p>
        </w:tc>
        <w:tc>
          <w:tcPr/>
          <w:p>
            <w:pPr>
              <w:pStyle w:val="Compact"/>
              <w:jc w:val="left"/>
            </w:pPr>
            <w:r>
              <w:t xml:space="preserve">260,000,000</w:t>
            </w:r>
          </w:p>
        </w:tc>
        <w:tc>
          <w:tcPr/>
          <w:p>
            <w:pPr>
              <w:pStyle w:val="Compact"/>
              <w:jc w:val="left"/>
            </w:pPr>
            <w:r>
              <w:t xml:space="preserve">260,000,000</w:t>
            </w:r>
          </w:p>
        </w:tc>
      </w:tr>
      <w:tr>
        <w:tc>
          <w:tcPr/>
          <w:p>
            <w:pPr>
              <w:pStyle w:val="Compact"/>
              <w:jc w:val="left"/>
            </w:pPr>
            <w:r>
              <w:t xml:space="preserve">6</w:t>
            </w:r>
          </w:p>
        </w:tc>
        <w:tc>
          <w:tcPr/>
          <w:p>
            <w:pPr>
              <w:pStyle w:val="Compact"/>
              <w:jc w:val="left"/>
            </w:pPr>
            <w:r>
              <w:t xml:space="preserve">Environmental monitoring during operational phase – quarterly air quality, noise level, and effluent discharge testing at the Indonesia Jakarta site</w:t>
            </w:r>
          </w:p>
        </w:tc>
        <w:tc>
          <w:tcPr/>
          <w:p>
            <w:pPr>
              <w:pStyle w:val="Compact"/>
              <w:jc w:val="left"/>
            </w:pPr>
            <w:r>
              <w:t xml:space="preserve">12 months</w:t>
            </w:r>
          </w:p>
        </w:tc>
        <w:tc>
          <w:tcPr/>
          <w:p>
            <w:pPr>
              <w:pStyle w:val="Compact"/>
              <w:jc w:val="left"/>
            </w:pPr>
            <w:r>
              <w:t xml:space="preserve">Quarterly</w:t>
            </w:r>
          </w:p>
        </w:tc>
        <w:tc>
          <w:tcPr/>
          <w:p>
            <w:pPr>
              <w:pStyle w:val="Compact"/>
              <w:jc w:val="left"/>
            </w:pPr>
            <w:r>
              <w:t xml:space="preserve">28,000,000</w:t>
            </w:r>
          </w:p>
        </w:tc>
        <w:tc>
          <w:tcPr/>
          <w:p>
            <w:pPr>
              <w:pStyle w:val="Compact"/>
              <w:jc w:val="left"/>
            </w:pPr>
            <w:r>
              <w:t xml:space="preserve">112,000,000</w:t>
            </w:r>
          </w:p>
        </w:tc>
      </w:tr>
      <w:tr>
        <w:tc>
          <w:tcPr/>
          <w:p>
            <w:pPr>
              <w:pStyle w:val="Compact"/>
              <w:jc w:val="left"/>
            </w:pPr>
            <w:r>
              <w:t xml:space="preserve">7</w:t>
            </w:r>
          </w:p>
        </w:tc>
        <w:tc>
          <w:tcPr/>
          <w:p>
            <w:pPr>
              <w:pStyle w:val="Compact"/>
              <w:jc w:val="left"/>
            </w:pPr>
            <w:r>
              <w:t xml:space="preserve">Community consultation and public hearing facilitation as required under Indonesia Jakarta environmental permitting procedures</w:t>
            </w:r>
          </w:p>
        </w:tc>
        <w:tc>
          <w:tcPr/>
          <w:p>
            <w:pPr>
              <w:pStyle w:val="Compact"/>
              <w:jc w:val="left"/>
            </w:pPr>
            <w:r>
              <w:t xml:space="preserve">15 days</w:t>
            </w:r>
          </w:p>
        </w:tc>
        <w:tc>
          <w:tcPr/>
          <w:p>
            <w:pPr>
              <w:pStyle w:val="Compact"/>
              <w:jc w:val="left"/>
            </w:pPr>
            <w:r>
              <w:t xml:space="preserve">Lump Sum</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8</w:t>
            </w:r>
          </w:p>
        </w:tc>
        <w:tc>
          <w:tcPr/>
          <w:p>
            <w:pPr>
              <w:pStyle w:val="Compact"/>
              <w:jc w:val="left"/>
            </w:pPr>
            <w:r>
              <w:t xml:space="preserve">Final environmental compliance certification and handover documentation package</w:t>
            </w:r>
          </w:p>
        </w:tc>
        <w:tc>
          <w:tcPr/>
          <w:p>
            <w:pPr>
              <w:pStyle w:val="Compact"/>
              <w:jc w:val="left"/>
            </w:pPr>
            <w:r>
              <w:t xml:space="preserve">10 days</w:t>
            </w:r>
          </w:p>
        </w:tc>
        <w:tc>
          <w:tcPr/>
          <w:p>
            <w:pPr>
              <w:pStyle w:val="Compact"/>
              <w:jc w:val="left"/>
            </w:pPr>
            <w:r>
              <w:t xml:space="preserve">Lump Sum</w:t>
            </w:r>
          </w:p>
        </w:tc>
        <w:tc>
          <w:tcPr/>
          <w:p>
            <w:pPr>
              <w:pStyle w:val="Compact"/>
              <w:jc w:val="left"/>
            </w:pPr>
            <w:r>
              <w:t xml:space="preserve">65,000,000</w:t>
            </w:r>
          </w:p>
        </w:tc>
        <w:tc>
          <w:tcPr/>
          <w:p>
            <w:pPr>
              <w:pStyle w:val="Compact"/>
              <w:jc w:val="left"/>
            </w:pPr>
            <w:r>
              <w:t xml:space="preserve">65,000,000</w:t>
            </w:r>
          </w:p>
        </w:tc>
      </w:tr>
      <w:tr>
        <w:tc>
          <w:tcPr>
            <w:gridSpan w:val="5"/>
          </w:tcPr>
          <w:p>
            <w:pPr>
              <w:pStyle w:val="Compact"/>
              <w:jc w:val="right"/>
            </w:pPr>
            <w:r>
              <w:t xml:space="preserve">TOTAL ESTIMATED COST (Before Tax)</w:t>
            </w:r>
          </w:p>
        </w:tc>
        <w:tc>
          <w:tcPr/>
          <w:p>
            <w:pPr>
              <w:pStyle w:val="Compact"/>
              <w:jc w:val="left"/>
            </w:pPr>
            <w:r>
              <w:t xml:space="preserve">1,832,000,000</w:t>
            </w:r>
          </w:p>
        </w:tc>
      </w:tr>
      <w:tr>
        <w:tc>
          <w:tcPr>
            <w:gridSpan w:val="5"/>
          </w:tcPr>
          <w:p>
            <w:pPr>
              <w:pStyle w:val="Compact"/>
              <w:jc w:val="right"/>
            </w:pPr>
            <w:r>
              <w:t xml:space="preserve">VAT (PPN) 11%</w:t>
            </w:r>
          </w:p>
        </w:tc>
        <w:tc>
          <w:tcPr/>
          <w:p>
            <w:pPr>
              <w:pStyle w:val="Compact"/>
              <w:jc w:val="left"/>
            </w:pPr>
            <w:r>
              <w:t xml:space="preserve">201,520,000</w:t>
            </w:r>
          </w:p>
        </w:tc>
      </w:tr>
      <w:tr>
        <w:tc>
          <w:tcPr>
            <w:gridSpan w:val="5"/>
          </w:tcPr>
          <w:p>
            <w:pPr>
              <w:pStyle w:val="Compact"/>
              <w:jc w:val="right"/>
            </w:pPr>
            <w:r>
              <w:t xml:space="preserve">GRAND TOTAL (Including VAT)</w:t>
            </w:r>
          </w:p>
        </w:tc>
        <w:tc>
          <w:tcPr/>
          <w:p>
            <w:pPr>
              <w:pStyle w:val="Compact"/>
              <w:jc w:val="left"/>
            </w:pPr>
            <w:r>
              <w:t xml:space="preserve">2,033,520,000</w:t>
            </w:r>
          </w:p>
        </w:tc>
      </w:tr>
    </w:tbl>
    <w:p>
      <w:pPr>
        <w:pStyle w:val="BodyText"/>
      </w:pPr>
      <w:r>
        <w:rPr>
          <w:bCs/>
          <w:b/>
        </w:rPr>
        <w:t xml:space="preserve">Note:</w:t>
      </w:r>
      <w:r>
        <w:t xml:space="preserve"> </w:t>
      </w:r>
      <w:r>
        <w:t xml:space="preserve">All rates in this Quotation Estimate are quoted in Indonesian Rupiah (IDR) and are inclusive of the Environmental Engineer's professional fees, travel within Indonesia Jakarta city limits, and standard laboratory testing. Costs for travel outside the Indonesia Jakarta metropolitan area, expedited regulatory processing fees, and any additional scope changes will be itemized separately upon written request.</w:t>
      </w:r>
    </w:p>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(IDR)</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25%</w:t>
            </w:r>
          </w:p>
        </w:tc>
        <w:tc>
          <w:tcPr/>
          <w:p>
            <w:pPr>
              <w:pStyle w:val="Compact"/>
              <w:jc w:val="left"/>
            </w:pPr>
            <w:r>
              <w:t xml:space="preserve">508,380,000</w:t>
            </w:r>
          </w:p>
        </w:tc>
        <w:tc>
          <w:tcPr/>
          <w:p>
            <w:pPr>
              <w:pStyle w:val="Compact"/>
              <w:jc w:val="left"/>
            </w:pPr>
            <w:r>
              <w:t xml:space="preserve">Upon contract signing</w:t>
            </w:r>
          </w:p>
        </w:tc>
      </w:tr>
      <w:tr>
        <w:tc>
          <w:tcPr/>
          <w:p>
            <w:pPr>
              <w:pStyle w:val="Compact"/>
              <w:jc w:val="left"/>
            </w:pPr>
            <w:r>
              <w:t xml:space="preserve">AMDAL Submission</w:t>
            </w:r>
          </w:p>
        </w:tc>
        <w:tc>
          <w:tcPr/>
          <w:p>
            <w:pPr>
              <w:pStyle w:val="Compact"/>
              <w:jc w:val="left"/>
            </w:pPr>
            <w:r>
              <w:t xml:space="preserve">25%</w:t>
            </w:r>
          </w:p>
        </w:tc>
        <w:tc>
          <w:tcPr/>
          <w:p>
            <w:pPr>
              <w:pStyle w:val="Compact"/>
              <w:jc w:val="left"/>
            </w:pPr>
            <w:r>
              <w:t xml:space="preserve">508,380,000</w:t>
            </w:r>
          </w:p>
        </w:tc>
        <w:tc>
          <w:tcPr/>
          <w:p>
            <w:pPr>
              <w:pStyle w:val="Compact"/>
              <w:jc w:val="left"/>
            </w:pPr>
            <w:r>
              <w:t xml:space="preserve">Upon KLHK/DLH receipt confirmation</w:t>
            </w:r>
          </w:p>
        </w:tc>
      </w:tr>
      <w:tr>
        <w:tc>
          <w:tcPr/>
          <w:p>
            <w:pPr>
              <w:pStyle w:val="Compact"/>
              <w:jc w:val="left"/>
            </w:pPr>
            <w:r>
              <w:t xml:space="preserve">Construction Phase (Monthly)</w:t>
            </w:r>
          </w:p>
        </w:tc>
        <w:tc>
          <w:tcPr/>
          <w:p>
            <w:pPr>
              <w:pStyle w:val="Compact"/>
              <w:jc w:val="left"/>
            </w:pPr>
            <w:r>
              <w:t xml:space="preserve">30%</w:t>
            </w:r>
          </w:p>
        </w:tc>
        <w:tc>
          <w:tcPr/>
          <w:p>
            <w:pPr>
              <w:pStyle w:val="Compact"/>
              <w:jc w:val="left"/>
            </w:pPr>
            <w:r>
              <w:t xml:space="preserve">610,056,000</w:t>
            </w:r>
          </w:p>
        </w:tc>
        <w:tc>
          <w:tcPr/>
          <w:p>
            <w:pPr>
              <w:pStyle w:val="Compact"/>
              <w:jc w:val="left"/>
            </w:pPr>
            <w:r>
              <w:t xml:space="preserve">Monthly progress certification</w:t>
            </w:r>
          </w:p>
        </w:tc>
      </w:tr>
      <w:tr>
        <w:tc>
          <w:tcPr/>
          <w:p>
            <w:pPr>
              <w:pStyle w:val="Compact"/>
              <w:jc w:val="left"/>
            </w:pPr>
            <w:r>
              <w:t xml:space="preserve">Final Handover</w:t>
            </w:r>
          </w:p>
        </w:tc>
        <w:tc>
          <w:tcPr/>
          <w:p>
            <w:pPr>
              <w:pStyle w:val="Compact"/>
              <w:jc w:val="left"/>
            </w:pPr>
            <w:r>
              <w:t xml:space="preserve">20%</w:t>
            </w:r>
          </w:p>
        </w:tc>
        <w:tc>
          <w:tcPr/>
          <w:p>
            <w:pPr>
              <w:pStyle w:val="Compact"/>
              <w:jc w:val="left"/>
            </w:pPr>
            <w:r>
              <w:t xml:space="preserve">406,704,000</w:t>
            </w:r>
          </w:p>
        </w:tc>
        <w:tc>
          <w:tcPr/>
          <w:p>
            <w:pPr>
              <w:pStyle w:val="Compact"/>
              <w:jc w:val="left"/>
            </w:pPr>
            <w:r>
              <w:t xml:space="preserve">Upon final compliance certificate issuance</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After the validity period, pricing may be subject to revision based on market conditions in Indonesia Jakarta.</w:t>
      </w:r>
    </w:p>
    <w:p>
      <w:pPr>
        <w:numPr>
          <w:ilvl w:val="0"/>
          <w:numId w:val="1001"/>
        </w:numPr>
        <w:pStyle w:val="Compact"/>
      </w:pPr>
      <w:r>
        <w:t xml:space="preserve">The Environmental Engineer shall comply with all applicable Indonesian environmental laws, including UU No. 32 Tahun 2009 on Environmental Protection and Management, and all Indonesia Jakarta provincial by-laws.</w:t>
      </w:r>
    </w:p>
    <w:p>
      <w:pPr>
        <w:numPr>
          <w:ilvl w:val="0"/>
          <w:numId w:val="1001"/>
        </w:numPr>
        <w:pStyle w:val="Compact"/>
      </w:pPr>
      <w:r>
        <w:t xml:space="preserve">Payment terms are Net 30 days from the date of invoice issuance. Late payments shall accrue interest at the Bank Indonesia base rate plus 2% per annum.</w:t>
      </w:r>
    </w:p>
    <w:p>
      <w:pPr>
        <w:numPr>
          <w:ilvl w:val="0"/>
          <w:numId w:val="1001"/>
        </w:numPr>
        <w:pStyle w:val="Compact"/>
      </w:pPr>
      <w:r>
        <w:t xml:space="preserve">The client shall provide full access to the project site in Indonesia Jakarta, including all necessary permits for the Environmental Engineer to conduct fieldwork and sampling activities.</w:t>
      </w:r>
    </w:p>
    <w:p>
      <w:pPr>
        <w:numPr>
          <w:ilvl w:val="0"/>
          <w:numId w:val="1001"/>
        </w:numPr>
        <w:pStyle w:val="Compact"/>
      </w:pPr>
      <w:r>
        <w:t xml:space="preserve">Any change in scope beyond the parameters defined in this Quotation Estimate shall require a written change order signed by both parties before additional work commences.</w:t>
      </w:r>
    </w:p>
    <w:p>
      <w:pPr>
        <w:numPr>
          <w:ilvl w:val="0"/>
          <w:numId w:val="1001"/>
        </w:numPr>
        <w:pStyle w:val="Compact"/>
      </w:pPr>
      <w:r>
        <w:t xml:space="preserve">Confidentiality: All data, reports, and findings generated by the Environmental Engineer during the course of this engagement in Indonesia Jakarta shall remain the exclusive property of the client and shall not be disclosed to third parties without written consent.</w:t>
      </w:r>
    </w:p>
    <w:p>
      <w:pPr>
        <w:numPr>
          <w:ilvl w:val="0"/>
          <w:numId w:val="1001"/>
        </w:numPr>
        <w:pStyle w:val="Compact"/>
      </w:pPr>
      <w:r>
        <w:t xml:space="preserve">Force Majeure: Neither party shall be liable for delays caused by natural disasters, government policy changes, or other events beyond reasonable control, as defined under Indonesian Civil Code (KUHPerdata) Article 1244-1245.</w:t>
      </w:r>
    </w:p>
    <w:p>
      <w:pPr>
        <w:numPr>
          <w:ilvl w:val="0"/>
          <w:numId w:val="1001"/>
        </w:numPr>
        <w:pStyle w:val="Compact"/>
      </w:pPr>
      <w:r>
        <w:t xml:space="preserve">Disputes arising from this Quotation Estimate and subsequent contract shall be resolved through mediation in Indonesia Jakarta, and failing that, through the Jakarta District Court (Pengadilan Negeri Jakarta).</w:t>
      </w:r>
    </w:p>
    <w:p>
      <w:pPr>
        <w:pStyle w:val="FirstParagraph"/>
      </w:pPr>
      <w:r>
        <w:t xml:space="preserve">6. Acceptance and Authorization</w:t>
      </w:r>
    </w:p>
    <w:p>
      <w:pPr>
        <w:pStyle w:val="BodyText"/>
      </w:pPr>
      <w:r>
        <w:t xml:space="preserve">By signing below, both parties acknowledge and agree to the terms, scope, and pricing outlined in this Quotation Estimate for Environmental Engineer services in Indonesia Jakarta. This document, once countersigned, shall serve as the basis for the formal Service Agreement to be executed within fourteen (14) days.</w:t>
      </w:r>
    </w:p>
    <w:p>
      <w:pPr>
        <w:pStyle w:val="BodyText"/>
      </w:pPr>
      <w:r>
        <w:rPr>
          <w:bCs/>
          <w:b/>
        </w:rPr>
        <w:t xml:space="preserve">For and on behalf of:</w:t>
      </w:r>
      <w:r>
        <w:br/>
      </w:r>
      <w:r>
        <w:t xml:space="preserve">Nusantara Environmental Consulting PT</w:t>
      </w:r>
    </w:p>
    <w:p>
      <w:pPr>
        <w:pStyle w:val="BodyText"/>
      </w:pPr>
      <w:r>
        <w:rPr>
          <w:bCs/>
          <w:b/>
        </w:rPr>
        <w:t xml:space="preserve">Name:</w:t>
      </w:r>
      <w:r>
        <w:t xml:space="preserve"> </w:t>
      </w:r>
      <w:r>
        <w:t xml:space="preserve">Ir. Bambang Sutrisno, M.Sc.</w:t>
      </w:r>
      <w:r>
        <w:br/>
      </w:r>
      <w:r>
        <w:rPr>
          <w:bCs/>
          <w:b/>
        </w:rPr>
        <w:t xml:space="preserve">Title:</w:t>
      </w:r>
      <w:r>
        <w:t xml:space="preserve"> </w:t>
      </w:r>
      <w:r>
        <w:t xml:space="preserve">Lead Environmental Engineer / Director</w:t>
      </w:r>
      <w:r>
        <w:br/>
      </w:r>
      <w:r>
        <w:rPr>
          <w:bCs/>
          <w:b/>
        </w:rPr>
        <w:t xml:space="preserve">Date:</w:t>
      </w:r>
      <w:r>
        <w:t xml:space="preserve"> </w:t>
      </w:r>
      <w:r>
        <w:t xml:space="preserve">_______________</w:t>
      </w:r>
    </w:p>
    <w:p>
      <w:pPr>
        <w:pStyle w:val="BodyText"/>
      </w:pPr>
      <w:r>
        <w:rPr>
          <w:bCs/>
          <w:b/>
        </w:rPr>
        <w:t xml:space="preserve">For and on behalf of:</w:t>
      </w:r>
      <w:r>
        <w:br/>
      </w:r>
      <w:r>
        <w:t xml:space="preserve">[Client Company Name] PT</w:t>
      </w:r>
    </w:p>
    <w:p>
      <w:pPr>
        <w:pStyle w:val="BodyText"/>
      </w:pPr>
      <w:r>
        <w:rPr>
          <w:bCs/>
          <w:b/>
        </w:rPr>
        <w:t xml:space="preserve">Name:</w:t>
      </w:r>
      <w:r>
        <w:t xml:space="preserve"> </w:t>
      </w:r>
      <w:r>
        <w:t xml:space="preserve">_________________________</w:t>
      </w:r>
      <w:r>
        <w:br/>
      </w:r>
      <w:r>
        <w:rPr>
          <w:bCs/>
          <w:b/>
        </w:rPr>
        <w:t xml:space="preserve">Title: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Quotation Estimate document was prepared by Nusantara Environmental Consulting PT, Indonesia Jakarta. Document ID: QE-ENV-JKT-2025-0047. This is a commercial document and does not constitute a binding contract until formally executed by both parties. All environmental engineering services described herein are subject to the professional judgment of the assigned Environmental Engineer and applicable regulations in Indonesia Jakarta at the time of service delivery.</w:t>
      </w:r>
    </w:p>
    <w:p>
      <w:pPr>
        <w:pStyle w:val="BodyText"/>
      </w:pPr>
      <w:r>
        <w:t xml:space="preserve">© 2025 Nusantara Environmental Consulting PT.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Indonesia Jakarta</dc:title>
  <dc:creator/>
  <dc:language>en</dc:language>
  <cp:keywords/>
  <dcterms:created xsi:type="dcterms:W3CDTF">2026-10-10T02:23:23Z</dcterms:created>
  <dcterms:modified xsi:type="dcterms:W3CDTF">2026-10-10T02:23:23Z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