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rPr>
          <w:bCs/>
          <w:b/>
        </w:rPr>
        <w:t xml:space="preserve">GreenSolutions Environmental Consulting Co.</w:t>
      </w:r>
      <w:r>
        <w:br/>
      </w:r>
      <w:r>
        <w:t xml:space="preserve">No. 42, Vali-e-Asr Street, Jomhouri Square, Tehran, Iran</w:t>
      </w:r>
      <w:r>
        <w:br/>
      </w:r>
      <w:r>
        <w:t xml:space="preserve">Tel: +98-21-8876-5432 | Email: info@greensolutions-iran.com</w:t>
      </w:r>
      <w:r>
        <w:br/>
      </w:r>
      <w:r>
        <w:t xml:space="preserve">Registration No. 104582 | Environmental Engineering License: IR-ENV-2019-00347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QE-2025-TEH-01187</w:t>
            </w:r>
          </w:p>
        </w:tc>
      </w:tr>
      <w:tr>
        <w:tc>
          <w:tcPr/>
          <w:p>
            <w:pPr>
              <w:pStyle w:val="Compact"/>
              <w:jc w:val="left"/>
            </w:pPr>
            <w:r>
              <w:t xml:space="preserve">Date of Issue</w:t>
            </w:r>
          </w:p>
        </w:tc>
        <w:tc>
          <w:tcPr/>
          <w:p>
            <w:pPr>
              <w:pStyle w:val="Compact"/>
              <w:jc w:val="left"/>
            </w:pPr>
            <w:r>
              <w:t xml:space="preserve">14 June 2025 (24 Khordad 1404)</w:t>
            </w:r>
          </w:p>
        </w:tc>
      </w:tr>
      <w:tr>
        <w:tc>
          <w:tcPr/>
          <w:p>
            <w:pPr>
              <w:pStyle w:val="Compact"/>
              <w:jc w:val="left"/>
            </w:pPr>
            <w:r>
              <w:t xml:space="preserve">Valid Until</w:t>
            </w:r>
          </w:p>
        </w:tc>
        <w:tc>
          <w:tcPr/>
          <w:p>
            <w:pPr>
              <w:pStyle w:val="Compact"/>
              <w:jc w:val="left"/>
            </w:pPr>
            <w:r>
              <w:t xml:space="preserve">14 July 2025 (24 Tir 1404)</w:t>
            </w:r>
          </w:p>
        </w:tc>
      </w:tr>
      <w:tr>
        <w:tc>
          <w:tcPr/>
          <w:p>
            <w:pPr>
              <w:pStyle w:val="Compact"/>
              <w:jc w:val="left"/>
            </w:pPr>
            <w:r>
              <w:t xml:space="preserve">Prepared For</w:t>
            </w:r>
          </w:p>
        </w:tc>
        <w:tc>
          <w:tcPr/>
          <w:p>
            <w:pPr>
              <w:pStyle w:val="Compact"/>
              <w:jc w:val="left"/>
            </w:pPr>
            <w:r>
              <w:t xml:space="preserve">Tehran Metropolitan Municipality – Department of Urban Planning &amp; Environmental Compliance</w:t>
            </w:r>
          </w:p>
        </w:tc>
      </w:tr>
      <w:tr>
        <w:tc>
          <w:tcPr/>
          <w:p>
            <w:pPr>
              <w:pStyle w:val="Compact"/>
              <w:jc w:val="left"/>
            </w:pPr>
            <w:r>
              <w:t xml:space="preserve">Project Location</w:t>
            </w:r>
          </w:p>
        </w:tc>
        <w:tc>
          <w:tcPr/>
          <w:p>
            <w:pPr>
              <w:pStyle w:val="Compact"/>
              <w:jc w:val="left"/>
            </w:pPr>
            <w:r>
              <w:t xml:space="preserve">Iran Tehran, District 22, South Tehran Industrial Zone</w:t>
            </w:r>
          </w:p>
        </w:tc>
      </w:tr>
      <w:tr>
        <w:tc>
          <w:tcPr/>
          <w:p>
            <w:pPr>
              <w:pStyle w:val="Compact"/>
              <w:jc w:val="left"/>
            </w:pPr>
            <w:r>
              <w:t xml:space="preserve">Project Title</w:t>
            </w:r>
          </w:p>
        </w:tc>
        <w:tc>
          <w:tcPr/>
          <w:p>
            <w:pPr>
              <w:pStyle w:val="Compact"/>
              <w:jc w:val="left"/>
            </w:pPr>
            <w:r>
              <w:t xml:space="preserve">Comprehensive Environmental Impact Assessment and Remediation Planning for the South Tehran Industrial Corridor</w:t>
            </w:r>
          </w:p>
        </w:tc>
      </w:tr>
      <w:tr>
        <w:tc>
          <w:tcPr/>
          <w:p>
            <w:pPr>
              <w:pStyle w:val="Compact"/>
              <w:jc w:val="left"/>
            </w:pPr>
            <w:r>
              <w:t xml:space="preserve">Currency</w:t>
            </w:r>
          </w:p>
        </w:tc>
        <w:tc>
          <w:tcPr/>
          <w:p>
            <w:pPr>
              <w:pStyle w:val="Compact"/>
              <w:jc w:val="left"/>
            </w:pPr>
            <w:r>
              <w:t xml:space="preserve">Iranian Rial (IRR) / USD equivalent</w:t>
            </w:r>
          </w:p>
        </w:tc>
      </w:tr>
    </w:tbl>
    <w:bookmarkStart w:id="22" w:name="X1499375aeadabf9b610040890ed57db6af6ddd4"/>
    <w:p>
      <w:pPr>
        <w:pStyle w:val="Heading2"/>
      </w:pPr>
      <w:r>
        <w:t xml:space="preserve">1. Scope of Work – Environmental Engineer Services in Iran Tehran</w:t>
      </w:r>
    </w:p>
    <w:p>
      <w:pPr>
        <w:pStyle w:val="FirstParagraph"/>
      </w:pPr>
      <w:r>
        <w:t xml:space="preserve">This Quotation Estimate is issued by GreenSolutions Environmental Consulting Co. to formally propose the engagement of a senior</w:t>
      </w:r>
      <w:r>
        <w:t xml:space="preserve"> </w:t>
      </w:r>
      <w:r>
        <w:rPr>
          <w:bCs/>
          <w:b/>
        </w:rPr>
        <w:t xml:space="preserve">Environmental Engineer</w:t>
      </w:r>
      <w:r>
        <w:t xml:space="preserve"> </w:t>
      </w:r>
      <w:r>
        <w:t xml:space="preserve">and a supporting technical team to deliver a full-spectrum environmental assessment and remediation programme for the South Tehran Industrial Corridor. The Environmental Engineer will be responsible for conducting site-specific environmental audits, air quality monitoring, soil and groundwater contamination profiling, waste management system design, and the preparation of a comprehensive Environmental Impact Assessment (EIA) report in full compliance with the regulations of the Department of Environment of the Islamic Republic of Iran (DOE-IR) and the Tehran Metropolitan Municipality environmental bylaws.</w:t>
      </w:r>
    </w:p>
    <w:p>
      <w:pPr>
        <w:pStyle w:val="BodyText"/>
      </w:pPr>
      <w:r>
        <w:t xml:space="preserve">The Environmental Engineer will coordinate with local authorities in Iran Tehran, including the Tehran Air Quality Management Center, the South Tehran Water and Wastewater Company, and the Ministry of Industry, Mine and Trade, to ensure that all findings, recommendations, and remediation strategies align with national and municipal environmental standards. All fieldwork, laboratory sampling, and data analysis will be conducted within the boundaries of Iran Tehran, with particular focus on the industrial estates of Districts 19, 20, and 22.</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 / Qty</w:t>
            </w:r>
          </w:p>
        </w:tc>
        <w:tc>
          <w:tcPr/>
          <w:p>
            <w:pPr>
              <w:pStyle w:val="Compact"/>
              <w:jc w:val="left"/>
            </w:pPr>
            <w:r>
              <w:t xml:space="preserve">Unit Cost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Senior Environmental Engineer – Site Assessment &amp; Desktop Review (including review of existing Iran Tehran environmental permits, historical discharge records, and land-use maps)</w:t>
            </w:r>
          </w:p>
        </w:tc>
        <w:tc>
          <w:tcPr/>
          <w:p>
            <w:pPr>
              <w:pStyle w:val="Compact"/>
              <w:jc w:val="left"/>
            </w:pPr>
            <w:r>
              <w:t xml:space="preserve">15 working days</w:t>
            </w:r>
          </w:p>
        </w:tc>
        <w:tc>
          <w:tcPr/>
          <w:p>
            <w:pPr>
              <w:pStyle w:val="Compact"/>
              <w:jc w:val="left"/>
            </w:pPr>
            <w:r>
              <w:t xml:space="preserve">8,500,000</w:t>
            </w:r>
          </w:p>
        </w:tc>
        <w:tc>
          <w:tcPr/>
          <w:p>
            <w:pPr>
              <w:pStyle w:val="Compact"/>
              <w:jc w:val="left"/>
            </w:pPr>
            <w:r>
              <w:t xml:space="preserve">127,500,000</w:t>
            </w:r>
          </w:p>
        </w:tc>
      </w:tr>
      <w:tr>
        <w:tc>
          <w:tcPr/>
          <w:p>
            <w:pPr>
              <w:pStyle w:val="Compact"/>
              <w:jc w:val="left"/>
            </w:pPr>
            <w:r>
              <w:t xml:space="preserve">02</w:t>
            </w:r>
          </w:p>
        </w:tc>
        <w:tc>
          <w:tcPr/>
          <w:p>
            <w:pPr>
              <w:pStyle w:val="Compact"/>
              <w:jc w:val="left"/>
            </w:pPr>
            <w:r>
              <w:t xml:space="preserve">Environmental Engineer – Air Quality Monitoring Campaign (PM2.5, PM10, SO₂, NOₓ, CO, O₃ at 12 monitoring stations across Iran Tehran industrial zones)</w:t>
            </w:r>
          </w:p>
        </w:tc>
        <w:tc>
          <w:tcPr/>
          <w:p>
            <w:pPr>
              <w:pStyle w:val="Compact"/>
              <w:jc w:val="left"/>
            </w:pPr>
            <w:r>
              <w:t xml:space="preserve">30 days</w:t>
            </w:r>
          </w:p>
        </w:tc>
        <w:tc>
          <w:tcPr/>
          <w:p>
            <w:pPr>
              <w:pStyle w:val="Compact"/>
              <w:jc w:val="left"/>
            </w:pPr>
            <w:r>
              <w:t xml:space="preserve">12,000,000</w:t>
            </w:r>
          </w:p>
        </w:tc>
        <w:tc>
          <w:tcPr/>
          <w:p>
            <w:pPr>
              <w:pStyle w:val="Compact"/>
              <w:jc w:val="left"/>
            </w:pPr>
            <w:r>
              <w:t xml:space="preserve">360,000,000</w:t>
            </w:r>
          </w:p>
        </w:tc>
      </w:tr>
      <w:tr>
        <w:tc>
          <w:tcPr/>
          <w:p>
            <w:pPr>
              <w:pStyle w:val="Compact"/>
              <w:jc w:val="left"/>
            </w:pPr>
            <w:r>
              <w:t xml:space="preserve">03</w:t>
            </w:r>
          </w:p>
        </w:tc>
        <w:tc>
          <w:tcPr/>
          <w:p>
            <w:pPr>
              <w:pStyle w:val="Compact"/>
              <w:jc w:val="left"/>
            </w:pPr>
            <w:r>
              <w:t xml:space="preserve">Environmental Engineer – Soil &amp; Groundwater Contamination Profiling (drilling, sampling, and laboratory analysis at 45 borehole locations in South Tehran)</w:t>
            </w:r>
          </w:p>
        </w:tc>
        <w:tc>
          <w:tcPr/>
          <w:p>
            <w:pPr>
              <w:pStyle w:val="Compact"/>
              <w:jc w:val="left"/>
            </w:pPr>
            <w:r>
              <w:t xml:space="preserve">25 working days</w:t>
            </w:r>
          </w:p>
        </w:tc>
        <w:tc>
          <w:tcPr/>
          <w:p>
            <w:pPr>
              <w:pStyle w:val="Compact"/>
              <w:jc w:val="left"/>
            </w:pPr>
            <w:r>
              <w:t xml:space="preserve">15,500,000</w:t>
            </w:r>
          </w:p>
        </w:tc>
        <w:tc>
          <w:tcPr/>
          <w:p>
            <w:pPr>
              <w:pStyle w:val="Compact"/>
              <w:jc w:val="left"/>
            </w:pPr>
            <w:r>
              <w:t xml:space="preserve">387,500,000</w:t>
            </w:r>
          </w:p>
        </w:tc>
      </w:tr>
      <w:tr>
        <w:tc>
          <w:tcPr/>
          <w:p>
            <w:pPr>
              <w:pStyle w:val="Compact"/>
              <w:jc w:val="left"/>
            </w:pPr>
            <w:r>
              <w:t xml:space="preserve">04</w:t>
            </w:r>
          </w:p>
        </w:tc>
        <w:tc>
          <w:tcPr/>
          <w:p>
            <w:pPr>
              <w:pStyle w:val="Compact"/>
              <w:jc w:val="left"/>
            </w:pPr>
            <w:r>
              <w:t xml:space="preserve">Environmental Engineer – Waste Management &amp; Hazardous Material Audit (inventory of industrial waste streams, compliance check with Iran Tehran municipal waste regulations)</w:t>
            </w:r>
          </w:p>
        </w:tc>
        <w:tc>
          <w:tcPr/>
          <w:p>
            <w:pPr>
              <w:pStyle w:val="Compact"/>
              <w:jc w:val="left"/>
            </w:pPr>
            <w:r>
              <w:t xml:space="preserve">10 working days</w:t>
            </w:r>
          </w:p>
        </w:tc>
        <w:tc>
          <w:tcPr/>
          <w:p>
            <w:pPr>
              <w:pStyle w:val="Compact"/>
              <w:jc w:val="left"/>
            </w:pPr>
            <w:r>
              <w:t xml:space="preserve">9,000,000</w:t>
            </w:r>
          </w:p>
        </w:tc>
        <w:tc>
          <w:tcPr/>
          <w:p>
            <w:pPr>
              <w:pStyle w:val="Compact"/>
              <w:jc w:val="left"/>
            </w:pPr>
            <w:r>
              <w:t xml:space="preserve">90,000,000</w:t>
            </w:r>
          </w:p>
        </w:tc>
      </w:tr>
      <w:tr>
        <w:tc>
          <w:tcPr/>
          <w:p>
            <w:pPr>
              <w:pStyle w:val="Compact"/>
              <w:jc w:val="left"/>
            </w:pPr>
            <w:r>
              <w:t xml:space="preserve">05</w:t>
            </w:r>
          </w:p>
        </w:tc>
        <w:tc>
          <w:tcPr/>
          <w:p>
            <w:pPr>
              <w:pStyle w:val="Compact"/>
              <w:jc w:val="left"/>
            </w:pPr>
            <w:r>
              <w:t xml:space="preserve">Environmental Engineer – EIA Report Preparation &amp; Submission (full Environmental Impact Assessment document, public consultation coordination, and DOE-IR submission package)</w:t>
            </w:r>
          </w:p>
        </w:tc>
        <w:tc>
          <w:tcPr/>
          <w:p>
            <w:pPr>
              <w:pStyle w:val="Compact"/>
              <w:jc w:val="left"/>
            </w:pPr>
            <w:r>
              <w:t xml:space="preserve">20 working days</w:t>
            </w:r>
          </w:p>
        </w:tc>
        <w:tc>
          <w:tcPr/>
          <w:p>
            <w:pPr>
              <w:pStyle w:val="Compact"/>
              <w:jc w:val="left"/>
            </w:pPr>
            <w:r>
              <w:t xml:space="preserve">11,000,000</w:t>
            </w:r>
          </w:p>
        </w:tc>
        <w:tc>
          <w:tcPr/>
          <w:p>
            <w:pPr>
              <w:pStyle w:val="Compact"/>
              <w:jc w:val="left"/>
            </w:pPr>
            <w:r>
              <w:t xml:space="preserve">220,000,000</w:t>
            </w:r>
          </w:p>
        </w:tc>
      </w:tr>
      <w:tr>
        <w:tc>
          <w:tcPr/>
          <w:p>
            <w:pPr>
              <w:pStyle w:val="Compact"/>
              <w:jc w:val="left"/>
            </w:pPr>
            <w:r>
              <w:t xml:space="preserve">06</w:t>
            </w:r>
          </w:p>
        </w:tc>
        <w:tc>
          <w:tcPr/>
          <w:p>
            <w:pPr>
              <w:pStyle w:val="Compact"/>
              <w:jc w:val="left"/>
            </w:pPr>
            <w:r>
              <w:t xml:space="preserve">Environmental Engineer – Remediation Strategy Design &amp; Cost Modelling (tailored to Iran Tehran soil types, climate, and regulatory framework)</w:t>
            </w:r>
          </w:p>
        </w:tc>
        <w:tc>
          <w:tcPr/>
          <w:p>
            <w:pPr>
              <w:pStyle w:val="Compact"/>
              <w:jc w:val="left"/>
            </w:pPr>
            <w:r>
              <w:t xml:space="preserve">15 working days</w:t>
            </w:r>
          </w:p>
        </w:tc>
        <w:tc>
          <w:tcPr/>
          <w:p>
            <w:pPr>
              <w:pStyle w:val="Compact"/>
              <w:jc w:val="left"/>
            </w:pPr>
            <w:r>
              <w:t xml:space="preserve">10,500,000</w:t>
            </w:r>
          </w:p>
        </w:tc>
        <w:tc>
          <w:tcPr/>
          <w:p>
            <w:pPr>
              <w:pStyle w:val="Compact"/>
              <w:jc w:val="left"/>
            </w:pPr>
            <w:r>
              <w:t xml:space="preserve">157,500,000</w:t>
            </w:r>
          </w:p>
        </w:tc>
      </w:tr>
      <w:tr>
        <w:tc>
          <w:tcPr/>
          <w:p>
            <w:pPr>
              <w:pStyle w:val="Compact"/>
              <w:jc w:val="left"/>
            </w:pPr>
            <w:r>
              <w:t xml:space="preserve">07</w:t>
            </w:r>
          </w:p>
        </w:tc>
        <w:tc>
          <w:tcPr/>
          <w:p>
            <w:pPr>
              <w:pStyle w:val="Compact"/>
              <w:jc w:val="left"/>
            </w:pPr>
            <w:r>
              <w:t xml:space="preserve">Environmental Engineer – Stakeholder Meetings &amp; Public Consultation Facilitation (minimum 3 sessions with local communities, industry operators, and Iran Tehran municipal officials)</w:t>
            </w:r>
          </w:p>
        </w:tc>
        <w:tc>
          <w:tcPr/>
          <w:p>
            <w:pPr>
              <w:pStyle w:val="Compact"/>
              <w:jc w:val="left"/>
            </w:pPr>
            <w:r>
              <w:t xml:space="preserve">3 sessions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08</w:t>
            </w:r>
          </w:p>
        </w:tc>
        <w:tc>
          <w:tcPr/>
          <w:p>
            <w:pPr>
              <w:pStyle w:val="Compact"/>
              <w:jc w:val="left"/>
            </w:pPr>
            <w:r>
              <w:t xml:space="preserve">Environmental Engineer – Final Report, Executive Summary &amp; 12-Month Post-Implementation Monitoring Plan</w:t>
            </w:r>
          </w:p>
        </w:tc>
        <w:tc>
          <w:tcPr/>
          <w:p>
            <w:pPr>
              <w:pStyle w:val="Compact"/>
              <w:jc w:val="left"/>
            </w:pPr>
            <w:r>
              <w:t xml:space="preserve">10 working days</w:t>
            </w:r>
          </w:p>
        </w:tc>
        <w:tc>
          <w:tcPr/>
          <w:p>
            <w:pPr>
              <w:pStyle w:val="Compact"/>
              <w:jc w:val="left"/>
            </w:pPr>
            <w:r>
              <w:t xml:space="preserve">7,500,000</w:t>
            </w:r>
          </w:p>
        </w:tc>
        <w:tc>
          <w:tcPr/>
          <w:p>
            <w:pPr>
              <w:pStyle w:val="Compact"/>
              <w:jc w:val="left"/>
            </w:pPr>
            <w:r>
              <w:t xml:space="preserve">75,000,000</w:t>
            </w:r>
          </w:p>
        </w:tc>
      </w:tr>
      <w:tr>
        <w:tc>
          <w:tcPr>
            <w:gridSpan w:val="4"/>
          </w:tcPr>
          <w:p>
            <w:pPr>
              <w:pStyle w:val="Compact"/>
              <w:jc w:val="left"/>
            </w:pPr>
            <w:r>
              <w:t xml:space="preserve">Subtotal (Professional Services)</w:t>
            </w:r>
          </w:p>
        </w:tc>
        <w:tc>
          <w:tcPr/>
          <w:p>
            <w:pPr>
              <w:pStyle w:val="Compact"/>
              <w:jc w:val="left"/>
            </w:pPr>
            <w:r>
              <w:t xml:space="preserve">1,431,000,000</w:t>
            </w:r>
          </w:p>
        </w:tc>
      </w:tr>
      <w:tr>
        <w:tc>
          <w:tcPr>
            <w:gridSpan w:val="4"/>
          </w:tcPr>
          <w:p>
            <w:pPr>
              <w:pStyle w:val="Compact"/>
              <w:jc w:val="left"/>
            </w:pPr>
            <w:r>
              <w:t xml:space="preserve">Laboratory Analysis &amp; Field Equipment (third-party, Iran Tehran accredited labs)</w:t>
            </w:r>
          </w:p>
        </w:tc>
        <w:tc>
          <w:tcPr/>
          <w:p>
            <w:pPr>
              <w:pStyle w:val="Compact"/>
              <w:jc w:val="left"/>
            </w:pPr>
            <w:r>
              <w:t xml:space="preserve">215,000,000</w:t>
            </w:r>
          </w:p>
        </w:tc>
      </w:tr>
      <w:tr>
        <w:tc>
          <w:tcPr>
            <w:gridSpan w:val="4"/>
          </w:tcPr>
          <w:p>
            <w:pPr>
              <w:pStyle w:val="Compact"/>
              <w:jc w:val="left"/>
            </w:pPr>
            <w:r>
              <w:t xml:space="preserve">Travel, Permits &amp; Miscellaneous (within Iran Tehran metropolitan area)</w:t>
            </w:r>
          </w:p>
        </w:tc>
        <w:tc>
          <w:tcPr/>
          <w:p>
            <w:pPr>
              <w:pStyle w:val="Compact"/>
              <w:jc w:val="left"/>
            </w:pPr>
            <w:r>
              <w:t xml:space="preserve">48,000,000</w:t>
            </w:r>
          </w:p>
        </w:tc>
      </w:tr>
      <w:tr>
        <w:tc>
          <w:tcPr>
            <w:gridSpan w:val="4"/>
          </w:tcPr>
          <w:p>
            <w:pPr>
              <w:pStyle w:val="Compact"/>
              <w:jc w:val="left"/>
            </w:pPr>
            <w:r>
              <w:t xml:space="preserve">GRAND TOTAL (Quotation Estimate)</w:t>
            </w:r>
          </w:p>
        </w:tc>
        <w:tc>
          <w:tcPr/>
          <w:p>
            <w:pPr>
              <w:pStyle w:val="Compact"/>
              <w:jc w:val="left"/>
            </w:pPr>
            <w:r>
              <w:t xml:space="preserve">1,694,000,000 IRR</w:t>
            </w:r>
          </w:p>
        </w:tc>
      </w:tr>
    </w:tbl>
    <w:p>
      <w:pPr>
        <w:pStyle w:val="BodyText"/>
      </w:pPr>
      <w:r>
        <w:t xml:space="preserve">* USD equivalent at the time of this Quotation Estimate: approximately USD 41,850 (rate: 40,478 IRR/USD, Central Bank of Iran, June 2025). Final settlement in IRR.</w:t>
      </w:r>
    </w:p>
    <w:bookmarkEnd w:id="23"/>
    <w:bookmarkStart w:id="24"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the Environmental Engineer rates and project costs may be revised to reflect changes in the Iranian Rial exchange rate, inflation, or regulatory updates in Iran Tehran.</w:t>
      </w:r>
    </w:p>
    <w:p>
      <w:pPr>
        <w:numPr>
          <w:ilvl w:val="0"/>
          <w:numId w:val="1001"/>
        </w:numPr>
        <w:pStyle w:val="Compact"/>
      </w:pPr>
      <w:r>
        <w:t xml:space="preserve">Payment shall be made in three (3) milestones: 30% upon contract signing, 40% upon completion of fieldwork and laboratory analysis, and 30% upon delivery and acceptance of the final EIA report and remediation plan.</w:t>
      </w:r>
    </w:p>
    <w:p>
      <w:pPr>
        <w:numPr>
          <w:ilvl w:val="0"/>
          <w:numId w:val="1001"/>
        </w:numPr>
        <w:pStyle w:val="Compact"/>
      </w:pPr>
      <w:r>
        <w:t xml:space="preserve">The Environmental Engineer and the supporting team shall comply with all applicable laws of the Islamic Republic of Iran, including the Environmental Protection Act (1376), the Tehran Metropolitan Municipality Environmental Regulations, and the DOE-IR technical guidelines for industrial impact assessments.</w:t>
      </w:r>
    </w:p>
    <w:p>
      <w:pPr>
        <w:numPr>
          <w:ilvl w:val="0"/>
          <w:numId w:val="1001"/>
        </w:numPr>
        <w:pStyle w:val="Compact"/>
      </w:pPr>
      <w:r>
        <w:t xml:space="preserve">All data collected during the engagement in Iran Tehran shall remain the property of the client. The Environmental Engineer shall not disclose site-specific findings to any third party without written consent.</w:t>
      </w:r>
    </w:p>
    <w:p>
      <w:pPr>
        <w:numPr>
          <w:ilvl w:val="0"/>
          <w:numId w:val="1001"/>
        </w:numPr>
        <w:pStyle w:val="Compact"/>
      </w:pPr>
      <w:r>
        <w:t xml:space="preserve">The Environmental Engineer shall provide weekly progress reports and a final comprehensive report in both Persian (Farsi) and English to facilitate submission to Iran Tehran municipal authorities and, if required, international review bodies.</w:t>
      </w:r>
    </w:p>
    <w:p>
      <w:pPr>
        <w:numPr>
          <w:ilvl w:val="0"/>
          <w:numId w:val="1001"/>
        </w:numPr>
        <w:pStyle w:val="Compact"/>
      </w:pPr>
      <w:r>
        <w:t xml:space="preserve">Any scope changes, additional monitoring stations, or extended remediation modelling beyond the parameters outlined in this Quotation Estimate shall be subject to a supplementary amendment and additional cost assessment.</w:t>
      </w:r>
    </w:p>
    <w:p>
      <w:pPr>
        <w:numPr>
          <w:ilvl w:val="0"/>
          <w:numId w:val="1001"/>
        </w:numPr>
        <w:pStyle w:val="Compact"/>
      </w:pPr>
      <w:r>
        <w:t xml:space="preserve">Force majeure events, including but not limited to natural disasters, government-mandated shutdowns, or public health emergencies affecting Iran Tehran, shall suspend the project timeline without penalty to either party.</w:t>
      </w:r>
    </w:p>
    <w:p>
      <w:pPr>
        <w:numPr>
          <w:ilvl w:val="0"/>
          <w:numId w:val="1001"/>
        </w:numPr>
        <w:pStyle w:val="Compact"/>
      </w:pPr>
      <w:r>
        <w:t xml:space="preserve">Disputes arising from this Quotation Estimate or the subsequent contract shall be resolved through arbitration in Tehran, Iran, in accordance with the rules of the Tehran Regional Arbitration Center (TRAC).</w:t>
      </w:r>
    </w:p>
    <w:bookmarkEnd w:id="24"/>
    <w:bookmarkStart w:id="25"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GreenSolutions Environmental Consulting Co. to proceed with the engagement of the Environmental Engineer and the delivery of the services described herein for the project located in Iran Tehran.</w:t>
      </w:r>
    </w:p>
    <w:p>
      <w:pPr>
        <w:pStyle w:val="BodyText"/>
      </w:pPr>
      <w:r>
        <w:rPr>
          <w:bCs/>
          <w:b/>
        </w:rPr>
        <w:t xml:space="preserve">For GreenSolutions Environmental Consulting Co.</w:t>
      </w:r>
      <w:r>
        <w:br/>
      </w:r>
      <w:r>
        <w:br/>
      </w:r>
      <w:r>
        <w:t xml:space="preserve">______________________________</w:t>
      </w:r>
      <w:r>
        <w:br/>
      </w:r>
      <w:r>
        <w:t xml:space="preserve">Dr. Amir Hosseini, P.E.</w:t>
      </w:r>
      <w:r>
        <w:br/>
      </w:r>
      <w:r>
        <w:t xml:space="preserve">Lead Environmental Engineer</w:t>
      </w:r>
      <w:r>
        <w:br/>
      </w:r>
      <w:r>
        <w:t xml:space="preserve">Date: _______________</w:t>
      </w:r>
    </w:p>
    <w:p>
      <w:pPr>
        <w:pStyle w:val="BodyText"/>
      </w:pPr>
      <w:r>
        <w:rPr>
          <w:bCs/>
          <w:b/>
        </w:rPr>
        <w:t xml:space="preserve">For Tehran Metropolitan Municipality</w:t>
      </w:r>
      <w:r>
        <w:br/>
      </w:r>
      <w:r>
        <w:br/>
      </w:r>
      <w:r>
        <w:t xml:space="preserve">______________________________</w:t>
      </w:r>
      <w:r>
        <w:br/>
      </w:r>
      <w:r>
        <w:t xml:space="preserve">Authorized Representative</w:t>
      </w:r>
      <w:r>
        <w:br/>
      </w:r>
      <w:r>
        <w:t xml:space="preserve">Department of Urban Planning &amp; Environmental Compliance</w:t>
      </w:r>
      <w:r>
        <w:br/>
      </w:r>
      <w:r>
        <w:t xml:space="preserve">Date: _______________</w:t>
      </w:r>
    </w:p>
    <w:p>
      <w:pPr>
        <w:pStyle w:val="BodyText"/>
      </w:pPr>
      <w:r>
        <w:t xml:space="preserve">GreenSolutions Environmental Consulting Co. | Iran Tehran | This Quotation Estimate is a confidential commercial document. Unauthorized reproduction or distribution is prohibited.</w:t>
      </w:r>
      <w:r>
        <w:br/>
      </w:r>
      <w:r>
        <w:t xml:space="preserve">Quotation Estimate No. QE-2025-TEH-01187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Iran Tehran</dc:title>
  <dc:creator/>
  <dc:language>en</dc:language>
  <cp:keywords/>
  <dcterms:created xsi:type="dcterms:W3CDTF">2026-10-10T06:11:12Z</dcterms:created>
  <dcterms:modified xsi:type="dcterms:W3CDTF">2026-10-10T06:11:12Z</dcterms:modified>
</cp:coreProperties>
</file>

<file path=docProps/custom.xml><?xml version="1.0" encoding="utf-8"?>
<Properties xmlns="http://schemas.openxmlformats.org/officeDocument/2006/custom-properties" xmlns:vt="http://schemas.openxmlformats.org/officeDocument/2006/docPropsVTypes"/>
</file>