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Environmental Engineering Services — Italy Naples</w:t>
      </w:r>
    </w:p>
    <w:bookmarkEnd w:id="20"/>
    <w:bookmarkStart w:id="21" w:name="service-provider"/>
    <w:p>
      <w:pPr>
        <w:pStyle w:val="Heading3"/>
      </w:pPr>
      <w:r>
        <w:t xml:space="preserve">Service Provider</w:t>
      </w:r>
    </w:p>
    <w:p>
      <w:pPr>
        <w:pStyle w:val="FirstParagraph"/>
      </w:pPr>
      <w:r>
        <w:rPr>
          <w:bCs/>
          <w:b/>
        </w:rPr>
        <w:t xml:space="preserve">TerraVerde Environmental Consulting S.r.l.</w:t>
      </w:r>
      <w:r>
        <w:br/>
      </w:r>
      <w:r>
        <w:t xml:space="preserve">Via Toledo 142, 80132 Naples (NA), Italy</w:t>
      </w:r>
      <w:r>
        <w:br/>
      </w:r>
      <w:r>
        <w:t xml:space="preserve">P.IVA: IT04829171203</w:t>
      </w:r>
      <w:r>
        <w:br/>
      </w:r>
      <w:r>
        <w:t xml:space="preserve">Tel: +39 081 555 2210</w:t>
      </w:r>
      <w:r>
        <w:br/>
      </w:r>
      <w:r>
        <w:t xml:space="preserve">Email: info@terraverde-naples.it</w:t>
      </w:r>
      <w:r>
        <w:br/>
      </w:r>
      <w:r>
        <w:t xml:space="preserve">PEC: terraverde@pec.it</w:t>
      </w:r>
    </w:p>
    <w:bookmarkEnd w:id="21"/>
    <w:bookmarkStart w:id="22" w:name="client"/>
    <w:p>
      <w:pPr>
        <w:pStyle w:val="Heading3"/>
      </w:pPr>
      <w:r>
        <w:t xml:space="preserve">Client</w:t>
      </w:r>
    </w:p>
    <w:p>
      <w:pPr>
        <w:pStyle w:val="FirstParagraph"/>
      </w:pPr>
      <w:r>
        <w:rPr>
          <w:bCs/>
          <w:b/>
        </w:rPr>
        <w:t xml:space="preserve">Comune di Napoli — Settore Ambiente e Territorio</w:t>
      </w:r>
      <w:r>
        <w:br/>
      </w:r>
      <w:r>
        <w:t xml:space="preserve">Piazza del Plebiscito 1, 80132 Naples (NA), Italy</w:t>
      </w:r>
      <w:r>
        <w:br/>
      </w:r>
      <w:r>
        <w:t xml:space="preserve">Reference: Prot. N. 2025/ENV/0447</w:t>
      </w:r>
      <w:r>
        <w:br/>
      </w:r>
      <w:r>
        <w:t xml:space="preserve">Contact: Ing. Maria Esposito</w:t>
      </w:r>
      <w:r>
        <w:br/>
      </w:r>
      <w:r>
        <w:t xml:space="preserve">Email: ambiente@comune.napoli.it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QTE-2025-ENV-0891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Location:</w:t>
            </w:r>
          </w:p>
        </w:tc>
        <w:tc>
          <w:tcPr/>
          <w:p>
            <w:pPr>
              <w:pStyle w:val="Compact"/>
              <w:jc w:val="left"/>
            </w:pPr>
            <w:r>
              <w:t xml:space="preserve">Italy Naples — Municipal Districts I through X</w:t>
            </w:r>
          </w:p>
        </w:tc>
      </w:tr>
      <w:tr>
        <w:tc>
          <w:tcPr/>
          <w:p>
            <w:pPr>
              <w:pStyle w:val="Compact"/>
              <w:jc w:val="left"/>
            </w:pPr>
            <w:r>
              <w:t xml:space="preserve">Regulatory Framework:</w:t>
            </w:r>
          </w:p>
        </w:tc>
        <w:tc>
          <w:tcPr/>
          <w:p>
            <w:pPr>
              <w:pStyle w:val="Compact"/>
              <w:jc w:val="left"/>
            </w:pPr>
            <w:r>
              <w:t xml:space="preserve">D.Lgs. 152/2006, D.P.R. 207/2010, Regional Law Campania L.R. 14/2009</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TerraVerde Environmental Consulting S.r.l. in response to the formal request for professional services submitted by the Comune di Napoli, Settore Ambiente e Territorio. The scope of work encompasses the full engagement of a qualified</w:t>
      </w:r>
      <w:r>
        <w:t xml:space="preserve"> </w:t>
      </w:r>
      <w:r>
        <w:t xml:space="preserve">Environmental Engineer</w:t>
      </w:r>
      <w:r>
        <w:t xml:space="preserve"> </w:t>
      </w:r>
      <w:r>
        <w:t xml:space="preserve">to conduct comprehensive environmental impact assessments, waste management audits, air quality monitoring, and soil remediation planning across the municipal territory of</w:t>
      </w:r>
      <w:r>
        <w:t xml:space="preserve"> </w:t>
      </w:r>
      <w:r>
        <w:t xml:space="preserve">Italy Naples</w:t>
      </w:r>
      <w:r>
        <w:t xml:space="preserve">. This document itemizes all anticipated costs, deliverables, timelines, and contractual conditions governing the proposed professional engagement.</w:t>
      </w:r>
    </w:p>
    <w:bookmarkEnd w:id="23"/>
    <w:bookmarkStart w:id="24" w:name="X96c0d37e9d9211958261d9d4b20362e0ed2030b"/>
    <w:p>
      <w:pPr>
        <w:pStyle w:val="Heading2"/>
      </w:pPr>
      <w:r>
        <w:t xml:space="preserve">2. Professional Qualifications of the Environmental Engineer</w:t>
      </w:r>
    </w:p>
    <w:p>
      <w:pPr>
        <w:pStyle w:val="FirstParagraph"/>
      </w:pPr>
      <w:r>
        <w:t xml:space="preserve">The</w:t>
      </w:r>
      <w:r>
        <w:t xml:space="preserve"> </w:t>
      </w:r>
      <w:r>
        <w:t xml:space="preserve">Environmental Engineer</w:t>
      </w:r>
      <w:r>
        <w:t xml:space="preserve"> </w:t>
      </w:r>
      <w:r>
        <w:t xml:space="preserve">assigned to this project, Ing. Luca Ferrante (Albo Ingegneri di Napoli, Mat. 18472), holds a Laurea Magistrale in Ingegneria Ambientale from the University of Naples Federico II, a PhD in Environmental Chemistry from the University of Naples Federico II, and over fourteen years of professional experience in environmental consulting within the Campania region. The engineer is fully registered with the Ordine degli Ingegneri della Provincia di Napoli and holds ISO 14001 Lead Auditor certification. All work will be performed in strict compliance with Italian national legislation, European Union directives applicable in</w:t>
      </w:r>
      <w:r>
        <w:t xml:space="preserve"> </w:t>
      </w:r>
      <w:r>
        <w:t xml:space="preserve">Italy Naples</w:t>
      </w:r>
      <w:r>
        <w:t xml:space="preserve">, and the specific technical standards of the Regione Campania.</w:t>
      </w:r>
    </w:p>
    <w:bookmarkEnd w:id="24"/>
    <w:bookmarkStart w:id="25" w:name="detailed-scope-of-services"/>
    <w:p>
      <w:pPr>
        <w:pStyle w:val="Heading2"/>
      </w:pPr>
      <w:r>
        <w:t xml:space="preserve">3. Detailed Scope of Services</w:t>
      </w:r>
    </w:p>
    <w:p>
      <w:pPr>
        <w:pStyle w:val="FirstParagraph"/>
      </w:pPr>
      <w:r>
        <w:t xml:space="preserve">The</w:t>
      </w:r>
      <w:r>
        <w:t xml:space="preserve"> </w:t>
      </w:r>
      <w:r>
        <w:t xml:space="preserve">Environmental Engineer</w:t>
      </w:r>
      <w:r>
        <w:t xml:space="preserve"> </w:t>
      </w:r>
      <w:r>
        <w:t xml:space="preserve">shall provide the following services within the municipality of</w:t>
      </w:r>
      <w:r>
        <w:t xml:space="preserve"> </w:t>
      </w:r>
      <w:r>
        <w:t xml:space="preserve">Italy Naples</w:t>
      </w:r>
      <w:r>
        <w:t xml:space="preserve">:</w:t>
      </w:r>
    </w:p>
    <w:p>
      <w:pPr>
        <w:numPr>
          <w:ilvl w:val="0"/>
          <w:numId w:val="1001"/>
        </w:numPr>
        <w:pStyle w:val="Compact"/>
      </w:pPr>
      <w:r>
        <w:rPr>
          <w:bCs/>
          <w:b/>
        </w:rPr>
        <w:t xml:space="preserve">Environmental Impact Assessment (EIA):</w:t>
      </w:r>
      <w:r>
        <w:t xml:space="preserve"> </w:t>
      </w:r>
      <w:r>
        <w:t xml:space="preserve">Preparation of a complete Valutazione di Impatto Ambientale (VIA) for the proposed urban regeneration project in the Quartieri Spagnoli district, including baseline environmental data collection, impact prediction modelling, and mitigation strategy formulation.</w:t>
      </w:r>
    </w:p>
    <w:p>
      <w:pPr>
        <w:numPr>
          <w:ilvl w:val="0"/>
          <w:numId w:val="1001"/>
        </w:numPr>
        <w:pStyle w:val="Compact"/>
      </w:pPr>
      <w:r>
        <w:rPr>
          <w:bCs/>
          <w:b/>
        </w:rPr>
        <w:t xml:space="preserve">Air Quality Monitoring Programme:</w:t>
      </w:r>
      <w:r>
        <w:t xml:space="preserve"> </w:t>
      </w:r>
      <w:r>
        <w:t xml:space="preserve">Design and supervision of a 12-month continuous monitoring network for PM2.5, PM10, NOx, SO2, and O3 across ten strategic locations in</w:t>
      </w:r>
      <w:r>
        <w:t xml:space="preserve"> </w:t>
      </w:r>
      <w:r>
        <w:t xml:space="preserve">Italy Naples</w:t>
      </w:r>
      <w:r>
        <w:t xml:space="preserve">, with monthly reporting to the ARPA Campania.</w:t>
      </w:r>
    </w:p>
    <w:p>
      <w:pPr>
        <w:numPr>
          <w:ilvl w:val="0"/>
          <w:numId w:val="1001"/>
        </w:numPr>
        <w:pStyle w:val="Compact"/>
      </w:pPr>
      <w:r>
        <w:rPr>
          <w:bCs/>
          <w:b/>
        </w:rPr>
        <w:t xml:space="preserve">Waste Management Audit:</w:t>
      </w:r>
      <w:r>
        <w:t xml:space="preserve"> </w:t>
      </w:r>
      <w:r>
        <w:t xml:space="preserve">Comprehensive audit of the municipal solid waste collection and disposal system, including the TIB (Terzo Interporto di Napoli) facility, with recommendations for compliance with D.Lgs. 152/2006 Part IV.</w:t>
      </w:r>
    </w:p>
    <w:p>
      <w:pPr>
        <w:numPr>
          <w:ilvl w:val="0"/>
          <w:numId w:val="1001"/>
        </w:numPr>
        <w:pStyle w:val="Compact"/>
      </w:pPr>
      <w:r>
        <w:rPr>
          <w:bCs/>
          <w:b/>
        </w:rPr>
        <w:t xml:space="preserve">Soil and Groundwater Remediation Plan:</w:t>
      </w:r>
      <w:r>
        <w:t xml:space="preserve"> </w:t>
      </w:r>
      <w:r>
        <w:t xml:space="preserve">Investigation and remediation design for the contaminated site at Via Argine 22, including Phase I and Phase II site assessments, risk analysis, and a detailed remediation action plan.</w:t>
      </w:r>
    </w:p>
    <w:p>
      <w:pPr>
        <w:numPr>
          <w:ilvl w:val="0"/>
          <w:numId w:val="1001"/>
        </w:numPr>
        <w:pStyle w:val="Compact"/>
      </w:pPr>
      <w:r>
        <w:rPr>
          <w:bCs/>
          <w:b/>
        </w:rPr>
        <w:t xml:space="preserve">Water Quality Assessment:</w:t>
      </w:r>
      <w:r>
        <w:t xml:space="preserve"> </w:t>
      </w:r>
      <w:r>
        <w:t xml:space="preserve">Sampling and laboratory analysis of surface water bodies (Canale Reale, Fiume Seveso tributaries) and groundwater wells in the southern districts of</w:t>
      </w:r>
      <w:r>
        <w:t xml:space="preserve"> </w:t>
      </w:r>
      <w:r>
        <w:t xml:space="preserve">Italy Naples</w:t>
      </w:r>
      <w:r>
        <w:t xml:space="preserve">.</w:t>
      </w:r>
    </w:p>
    <w:p>
      <w:pPr>
        <w:numPr>
          <w:ilvl w:val="0"/>
          <w:numId w:val="1001"/>
        </w:numPr>
        <w:pStyle w:val="Compact"/>
      </w:pPr>
      <w:r>
        <w:rPr>
          <w:bCs/>
          <w:b/>
        </w:rPr>
        <w:t xml:space="preserve">Regulatory Compliance Reporting:</w:t>
      </w:r>
      <w:r>
        <w:t xml:space="preserve"> </w:t>
      </w:r>
      <w:r>
        <w:t xml:space="preserve">Preparation of all mandatory environmental reports, declarations, and permits required by the Comune di Napoli, ARPA Campania, and the Ministry of Environment (MITE).</w:t>
      </w:r>
    </w:p>
    <w:bookmarkEnd w:id="25"/>
    <w:bookmarkStart w:id="26"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(EUR)</w:t>
            </w:r>
          </w:p>
        </w:tc>
      </w:tr>
      <w:tr>
        <w:tc>
          <w:tcPr/>
          <w:p>
            <w:pPr>
              <w:pStyle w:val="Compact"/>
              <w:jc w:val="left"/>
            </w:pPr>
            <w:r>
              <w:t xml:space="preserve">1</w:t>
            </w:r>
          </w:p>
        </w:tc>
        <w:tc>
          <w:tcPr/>
          <w:p>
            <w:pPr>
              <w:pStyle w:val="Compact"/>
              <w:jc w:val="left"/>
            </w:pPr>
            <w:r>
              <w:t xml:space="preserve">Environmental Impact Assessment — EIA preparation, modelling, and public consultation support</w:t>
            </w:r>
          </w:p>
        </w:tc>
        <w:tc>
          <w:tcPr/>
          <w:p>
            <w:pPr>
              <w:pStyle w:val="Compact"/>
              <w:jc w:val="left"/>
            </w:pPr>
            <w:r>
              <w:t xml:space="preserve">6 months</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Air Quality Monitoring Programme — equipment, installation, 12-month data collection and reporting</w:t>
            </w:r>
          </w:p>
        </w:tc>
        <w:tc>
          <w:tcPr/>
          <w:p>
            <w:pPr>
              <w:pStyle w:val="Compact"/>
              <w:jc w:val="left"/>
            </w:pPr>
            <w:r>
              <w:t xml:space="preserve">12 months</w:t>
            </w:r>
          </w:p>
        </w:tc>
        <w:tc>
          <w:tcPr/>
          <w:p>
            <w:pPr>
              <w:pStyle w:val="Compact"/>
              <w:jc w:val="left"/>
            </w:pPr>
            <w:r>
              <w:t xml:space="preserve">62,300.00</w:t>
            </w:r>
          </w:p>
        </w:tc>
      </w:tr>
      <w:tr>
        <w:tc>
          <w:tcPr/>
          <w:p>
            <w:pPr>
              <w:pStyle w:val="Compact"/>
              <w:jc w:val="left"/>
            </w:pPr>
            <w:r>
              <w:t xml:space="preserve">3</w:t>
            </w:r>
          </w:p>
        </w:tc>
        <w:tc>
          <w:tcPr/>
          <w:p>
            <w:pPr>
              <w:pStyle w:val="Compact"/>
              <w:jc w:val="left"/>
            </w:pPr>
            <w:r>
              <w:t xml:space="preserve">Waste Management Audit — TIB facility and municipal collection system</w:t>
            </w:r>
          </w:p>
        </w:tc>
        <w:tc>
          <w:tcPr/>
          <w:p>
            <w:pPr>
              <w:pStyle w:val="Compact"/>
              <w:jc w:val="left"/>
            </w:pPr>
            <w:r>
              <w:t xml:space="preserve">3 months</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Soil and Groundwater Remediation Plan — Phase I, Phase II, and remediation design</w:t>
            </w:r>
          </w:p>
        </w:tc>
        <w:tc>
          <w:tcPr/>
          <w:p>
            <w:pPr>
              <w:pStyle w:val="Compact"/>
              <w:jc w:val="left"/>
            </w:pPr>
            <w:r>
              <w:t xml:space="preserve">5 months</w:t>
            </w:r>
          </w:p>
        </w:tc>
        <w:tc>
          <w:tcPr/>
          <w:p>
            <w:pPr>
              <w:pStyle w:val="Compact"/>
              <w:jc w:val="left"/>
            </w:pPr>
            <w:r>
              <w:t xml:space="preserve">39,200.00</w:t>
            </w:r>
          </w:p>
        </w:tc>
      </w:tr>
      <w:tr>
        <w:tc>
          <w:tcPr/>
          <w:p>
            <w:pPr>
              <w:pStyle w:val="Compact"/>
              <w:jc w:val="left"/>
            </w:pPr>
            <w:r>
              <w:t xml:space="preserve">5</w:t>
            </w:r>
          </w:p>
        </w:tc>
        <w:tc>
          <w:tcPr/>
          <w:p>
            <w:pPr>
              <w:pStyle w:val="Compact"/>
              <w:jc w:val="left"/>
            </w:pPr>
            <w:r>
              <w:t xml:space="preserve">Water Quality Assessment — sampling, laboratory analysis, and reporting</w:t>
            </w:r>
          </w:p>
        </w:tc>
        <w:tc>
          <w:tcPr/>
          <w:p>
            <w:pPr>
              <w:pStyle w:val="Compact"/>
              <w:jc w:val="left"/>
            </w:pPr>
            <w:r>
              <w:t xml:space="preserve">4 months</w:t>
            </w:r>
          </w:p>
        </w:tc>
        <w:tc>
          <w:tcPr/>
          <w:p>
            <w:pPr>
              <w:pStyle w:val="Compact"/>
              <w:jc w:val="left"/>
            </w:pPr>
            <w:r>
              <w:t xml:space="preserve">18,600.00</w:t>
            </w:r>
          </w:p>
        </w:tc>
      </w:tr>
      <w:tr>
        <w:tc>
          <w:tcPr/>
          <w:p>
            <w:pPr>
              <w:pStyle w:val="Compact"/>
              <w:jc w:val="left"/>
            </w:pPr>
            <w:r>
              <w:t xml:space="preserve">6</w:t>
            </w:r>
          </w:p>
        </w:tc>
        <w:tc>
          <w:tcPr/>
          <w:p>
            <w:pPr>
              <w:pStyle w:val="Compact"/>
              <w:jc w:val="left"/>
            </w:pPr>
            <w:r>
              <w:t xml:space="preserve">Regulatory Compliance Reporting — permits, declarations, and MITE submissions</w:t>
            </w:r>
          </w:p>
        </w:tc>
        <w:tc>
          <w:tcPr/>
          <w:p>
            <w:pPr>
              <w:pStyle w:val="Compact"/>
              <w:jc w:val="left"/>
            </w:pPr>
            <w:r>
              <w:t xml:space="preserve">Ongoing (18 months)</w:t>
            </w:r>
          </w:p>
        </w:tc>
        <w:tc>
          <w:tcPr/>
          <w:p>
            <w:pPr>
              <w:pStyle w:val="Compact"/>
              <w:jc w:val="left"/>
            </w:pPr>
            <w:r>
              <w:t xml:space="preserve">22,400.00</w:t>
            </w:r>
          </w:p>
        </w:tc>
      </w:tr>
      <w:tr>
        <w:tc>
          <w:tcPr/>
          <w:p>
            <w:pPr>
              <w:pStyle w:val="Compact"/>
              <w:jc w:val="left"/>
            </w:pPr>
            <w:r>
              <w:t xml:space="preserve">7</w:t>
            </w:r>
          </w:p>
        </w:tc>
        <w:tc>
          <w:tcPr/>
          <w:p>
            <w:pPr>
              <w:pStyle w:val="Compact"/>
              <w:jc w:val="left"/>
            </w:pPr>
            <w:r>
              <w:t xml:space="preserve">Project Management, Coordination, and Final Technical Report</w:t>
            </w:r>
          </w:p>
        </w:tc>
        <w:tc>
          <w:tcPr/>
          <w:p>
            <w:pPr>
              <w:pStyle w:val="Compact"/>
              <w:jc w:val="left"/>
            </w:pPr>
            <w:r>
              <w:t xml:space="preserve">18 months</w:t>
            </w:r>
          </w:p>
        </w:tc>
        <w:tc>
          <w:tcPr/>
          <w:p>
            <w:pPr>
              <w:pStyle w:val="Compact"/>
              <w:jc w:val="left"/>
            </w:pPr>
            <w:r>
              <w:t xml:space="preserve">15,000.00</w:t>
            </w:r>
          </w:p>
        </w:tc>
      </w:tr>
      <w:tr>
        <w:tc>
          <w:tcPr>
            <w:gridSpan w:val="3"/>
          </w:tcPr>
          <w:p>
            <w:pPr>
              <w:pStyle w:val="Compact"/>
              <w:jc w:val="left"/>
            </w:pPr>
            <w:r>
              <w:t xml:space="preserve">Subtotal (excl. VAT)</w:t>
            </w:r>
          </w:p>
        </w:tc>
        <w:tc>
          <w:tcPr/>
          <w:p>
            <w:pPr>
              <w:pStyle w:val="Compact"/>
              <w:jc w:val="left"/>
            </w:pPr>
            <w:r>
              <w:t xml:space="preserve">233,800.00</w:t>
            </w:r>
          </w:p>
        </w:tc>
      </w:tr>
      <w:tr>
        <w:tc>
          <w:tcPr>
            <w:gridSpan w:val="3"/>
          </w:tcPr>
          <w:p>
            <w:pPr>
              <w:pStyle w:val="Compact"/>
              <w:jc w:val="left"/>
            </w:pPr>
            <w:r>
              <w:t xml:space="preserve">VAT (22% — Italian standard rate)</w:t>
            </w:r>
          </w:p>
        </w:tc>
        <w:tc>
          <w:tcPr/>
          <w:p>
            <w:pPr>
              <w:pStyle w:val="Compact"/>
              <w:jc w:val="left"/>
            </w:pPr>
            <w:r>
              <w:t xml:space="preserve">51,436.00</w:t>
            </w:r>
          </w:p>
        </w:tc>
      </w:tr>
      <w:tr>
        <w:tc>
          <w:tcPr>
            <w:gridSpan w:val="3"/>
          </w:tcPr>
          <w:p>
            <w:pPr>
              <w:pStyle w:val="Compact"/>
              <w:jc w:val="left"/>
            </w:pPr>
            <w:r>
              <w:rPr>
                <w:bCs/>
                <w:b/>
              </w:rPr>
              <w:t xml:space="preserve">TOTAL AMOUNT DUE</w:t>
            </w:r>
          </w:p>
        </w:tc>
        <w:tc>
          <w:tcPr/>
          <w:p>
            <w:pPr>
              <w:pStyle w:val="Compact"/>
              <w:jc w:val="left"/>
            </w:pPr>
            <w:r>
              <w:rPr>
                <w:bCs/>
                <w:b/>
              </w:rPr>
              <w:t xml:space="preserve">285,236.00</w:t>
            </w:r>
          </w:p>
        </w:tc>
      </w:tr>
    </w:tbl>
    <w:bookmarkEnd w:id="26"/>
    <w:bookmarkStart w:id="27" w:name="payment-terms"/>
    <w:p>
      <w:pPr>
        <w:pStyle w:val="Heading2"/>
      </w:pPr>
      <w:r>
        <w:t xml:space="preserve">5. Payment Terms</w:t>
      </w:r>
    </w:p>
    <w:p>
      <w:pPr>
        <w:pStyle w:val="FirstParagraph"/>
      </w:pPr>
      <w:r>
        <w:t xml:space="preserve">Payment shall be made in quarterly instalments of 25% each, due within 30 days of invoice issuance. A final 10% retention shall be released upon acceptance of the Final Technical Report by the Comune di Napoli. All payments shall be made via bank transfer to the account of TerraVerde Environmental Consulting S.r.l. (IBAN: IT60 X054 2811 1000 0000 0123 456). Late payments shall accrue interest at the rate established by Article 2 of D.Lgs. 231/2002.</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prices are subject to revision based on current market conditions and inflation indices (ISTAT).</w:t>
      </w:r>
    </w:p>
    <w:p>
      <w:pPr>
        <w:numPr>
          <w:ilvl w:val="0"/>
          <w:numId w:val="1002"/>
        </w:numPr>
        <w:pStyle w:val="Compact"/>
      </w:pPr>
      <w:r>
        <w:t xml:space="preserve">All services shall be performed by the designated</w:t>
      </w:r>
      <w:r>
        <w:t xml:space="preserve"> </w:t>
      </w:r>
      <w:r>
        <w:t xml:space="preserve">Environmental Engineer</w:t>
      </w:r>
      <w:r>
        <w:t xml:space="preserve"> </w:t>
      </w:r>
      <w:r>
        <w:t xml:space="preserve">or, in case of documented unavailability, by a substitute of equivalent or superior qualifications, subject to prior written approval by the Client.</w:t>
      </w:r>
    </w:p>
    <w:p>
      <w:pPr>
        <w:numPr>
          <w:ilvl w:val="0"/>
          <w:numId w:val="1002"/>
        </w:numPr>
        <w:pStyle w:val="Compact"/>
      </w:pPr>
      <w:r>
        <w:t xml:space="preserve">The</w:t>
      </w:r>
      <w:r>
        <w:t xml:space="preserve"> </w:t>
      </w:r>
      <w:r>
        <w:t xml:space="preserve">Environmental Engineer</w:t>
      </w:r>
      <w:r>
        <w:t xml:space="preserve"> </w:t>
      </w:r>
      <w:r>
        <w:t xml:space="preserve">shall maintain full professional liability insurance (RC Professionale) with a minimum coverage of EUR 1,000,000 per occurrence throughout the duration of the engagement in</w:t>
      </w:r>
      <w:r>
        <w:t xml:space="preserve"> </w:t>
      </w:r>
      <w:r>
        <w:t xml:space="preserve">Italy Naples</w:t>
      </w:r>
      <w:r>
        <w:t xml:space="preserve">.</w:t>
      </w:r>
    </w:p>
    <w:p>
      <w:pPr>
        <w:numPr>
          <w:ilvl w:val="0"/>
          <w:numId w:val="1002"/>
        </w:numPr>
        <w:pStyle w:val="Compact"/>
      </w:pPr>
      <w:r>
        <w:t xml:space="preserve">All data collected, reports prepared, and deliverables produced under this contract shall remain the exclusive property of the Comune di Napoli. The</w:t>
      </w:r>
      <w:r>
        <w:t xml:space="preserve"> </w:t>
      </w:r>
      <w:r>
        <w:t xml:space="preserve">Environmental Engineer</w:t>
      </w:r>
      <w:r>
        <w:t xml:space="preserve"> </w:t>
      </w:r>
      <w:r>
        <w:t xml:space="preserve">shall comply with all applicable provisions of the GDPR (Reg. UE 2016/679) and Italian D.Lgs. 196/2003 as amended.</w:t>
      </w:r>
    </w:p>
    <w:p>
      <w:pPr>
        <w:numPr>
          <w:ilvl w:val="0"/>
          <w:numId w:val="1002"/>
        </w:numPr>
        <w:pStyle w:val="Compact"/>
      </w:pPr>
      <w:r>
        <w:t xml:space="preserve">Any change in scope exceeding 10% of the original contract value shall require a formal amendment to this</w:t>
      </w:r>
      <w:r>
        <w:t xml:space="preserve"> </w:t>
      </w:r>
      <w:r>
        <w:t xml:space="preserve">Quotation Estimate</w:t>
      </w:r>
      <w:r>
        <w:t xml:space="preserve">, agreed upon in writing by both parties.</w:t>
      </w:r>
    </w:p>
    <w:p>
      <w:pPr>
        <w:numPr>
          <w:ilvl w:val="0"/>
          <w:numId w:val="1002"/>
        </w:numPr>
        <w:pStyle w:val="Compact"/>
      </w:pPr>
      <w:r>
        <w:t xml:space="preserve">Disputes arising from this engagement shall be resolved by the competent courts of Naples, Italy, in accordance with Italian civil and commercial law.</w:t>
      </w:r>
    </w:p>
    <w:p>
      <w:pPr>
        <w:numPr>
          <w:ilvl w:val="0"/>
          <w:numId w:val="1002"/>
        </w:numPr>
        <w:pStyle w:val="Compact"/>
      </w:pPr>
      <w:r>
        <w:t xml:space="preserve">The</w:t>
      </w:r>
      <w:r>
        <w:t xml:space="preserve"> </w:t>
      </w:r>
      <w:r>
        <w:t xml:space="preserve">Environmental Engineer</w:t>
      </w:r>
      <w:r>
        <w:t xml:space="preserve"> </w:t>
      </w:r>
      <w:r>
        <w:t xml:space="preserve">shall comply with all safety regulations (D.Lgs. 81/2008) during all on-site activities conducted within the territory of</w:t>
      </w:r>
      <w:r>
        <w:t xml:space="preserve"> </w:t>
      </w:r>
      <w:r>
        <w:t xml:space="preserve">Italy Naples</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constitutes a binding offer and acceptance for the professional services of the</w:t>
      </w:r>
      <w:r>
        <w:t xml:space="preserve"> </w:t>
      </w:r>
      <w:r>
        <w:t xml:space="preserve">Environmental Engineer</w:t>
      </w:r>
      <w:r>
        <w:t xml:space="preserve"> </w:t>
      </w:r>
      <w:r>
        <w:t xml:space="preserve">as described herein, to be executed within the municipality of</w:t>
      </w:r>
      <w:r>
        <w:t xml:space="preserve"> </w:t>
      </w:r>
      <w:r>
        <w:t xml:space="preserve">Italy Naples</w:t>
      </w:r>
      <w:r>
        <w:t xml:space="preserve"> </w:t>
      </w:r>
      <w:r>
        <w:t xml:space="preserve">under the terms and conditions set forth in this document.</w:t>
      </w:r>
    </w:p>
    <w:p>
      <w:pPr>
        <w:pStyle w:val="BodyText"/>
      </w:pPr>
      <w:r>
        <w:rPr>
          <w:bCs/>
          <w:b/>
        </w:rPr>
        <w:t xml:space="preserve">For TerraVerde Environmental Consulting S.r.l.</w:t>
      </w:r>
    </w:p>
    <w:p>
      <w:pPr>
        <w:pStyle w:val="BodyText"/>
      </w:pPr>
      <w:r>
        <w:t xml:space="preserve">Ing. Luca Ferrante — Environmental Engineer</w:t>
      </w:r>
    </w:p>
    <w:p>
      <w:pPr>
        <w:pStyle w:val="BodyText"/>
      </w:pPr>
      <w:r>
        <w:t xml:space="preserve">Signature and Date</w:t>
      </w:r>
    </w:p>
    <w:p>
      <w:pPr>
        <w:pStyle w:val="BodyText"/>
      </w:pPr>
      <w:r>
        <w:rPr>
          <w:bCs/>
          <w:b/>
        </w:rPr>
        <w:t xml:space="preserve">For Comune di Napoli — Settore Ambiente e Territorio</w:t>
      </w:r>
    </w:p>
    <w:p>
      <w:pPr>
        <w:pStyle w:val="BodyText"/>
      </w:pPr>
      <w:r>
        <w:t xml:space="preserve">Ing. Maria Esposito — Technical Director</w:t>
      </w:r>
    </w:p>
    <w:p>
      <w:pPr>
        <w:pStyle w:val="BodyText"/>
      </w:pPr>
      <w:r>
        <w:t xml:space="preserve">Signature and Date</w:t>
      </w:r>
    </w:p>
    <w:p>
      <w:pPr>
        <w:pStyle w:val="BodyText"/>
      </w:pPr>
      <w:r>
        <w:t xml:space="preserve">TerraVerde Environmental Consulting S.r.l. — Via Toledo 142, 80132 Naples (NA), Italy — P.IVA IT04829171203 — REA NA-1234567</w:t>
      </w:r>
      <w:r>
        <w:br/>
      </w:r>
      <w:r>
        <w:t xml:space="preserve">This Quotation Estimate document is issued in duplicate. Both copies carry equal legal validity. — QTE-2025-ENV-0891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Italy Naples</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