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Environmental</w:t>
      </w:r>
      <w:r>
        <w:t xml:space="preserve"> </w:t>
      </w:r>
      <w:r>
        <w:t xml:space="preserve">Engineer</w:t>
      </w:r>
      <w:r>
        <w:t xml:space="preserve"> </w:t>
      </w:r>
      <w:r>
        <w:t xml:space="preserve">Services</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quotation-estimate"/>
    <w:p>
      <w:pPr>
        <w:pStyle w:val="Heading1"/>
      </w:pPr>
      <w:r>
        <w:t xml:space="preserve">QUOTATION ESTIMATE</w:t>
      </w:r>
    </w:p>
    <w:p>
      <w:pPr>
        <w:pStyle w:val="FirstParagraph"/>
      </w:pPr>
      <w:r>
        <w:t xml:space="preserve">Professional Environmental Engineer Services</w:t>
      </w:r>
    </w:p>
    <w:p>
      <w:pPr>
        <w:pStyle w:val="BodyText"/>
      </w:pPr>
      <w:r>
        <w:t xml:space="preserve">Ivory Coast Abidjan — Republic of Côte d'Ivoire</w:t>
      </w:r>
    </w:p>
    <w:bookmarkEnd w:id="20"/>
    <w:p>
      <w:pPr>
        <w:pStyle w:val="BodyText"/>
      </w:pPr>
      <w:r>
        <w:rPr>
          <w:bCs/>
          <w:b/>
        </w:rPr>
        <w:t xml:space="preserve">Quotation No.:</w:t>
      </w:r>
      <w:r>
        <w:t xml:space="preserve"> </w:t>
      </w:r>
      <w:r>
        <w:t xml:space="preserve">QTE-2025-ABJ-0472</w:t>
      </w:r>
      <w:r>
        <w:br/>
      </w:r>
      <w:r>
        <w:rPr>
          <w:bCs/>
          <w:b/>
        </w:rPr>
        <w:t xml:space="preserve">Date Issued:</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Prepared By:</w:t>
      </w:r>
      <w:r>
        <w:t xml:space="preserve"> </w:t>
      </w:r>
      <w:r>
        <w:t xml:space="preserve">EcoSolutions Consulting SARL</w:t>
      </w:r>
      <w:r>
        <w:br/>
      </w:r>
      <w:r>
        <w:rPr>
          <w:bCs/>
          <w:b/>
        </w:rPr>
        <w:t xml:space="preserve">Address:</w:t>
      </w:r>
      <w:r>
        <w:t xml:space="preserve"> </w:t>
      </w:r>
      <w:r>
        <w:t xml:space="preserve">Boulevard Latrille, Cocody, Abidjan</w:t>
      </w:r>
      <w:r>
        <w:br/>
      </w:r>
      <w:r>
        <w:rPr>
          <w:bCs/>
          <w:b/>
        </w:rPr>
        <w:t xml:space="preserve">Contact:</w:t>
      </w:r>
      <w:r>
        <w:t xml:space="preserve"> </w:t>
      </w:r>
      <w:r>
        <w:t xml:space="preserve">+225 27 22 45 67 89</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Société Ivoirienne de Développement Urbain (SIDU)</w:t>
            </w:r>
          </w:p>
        </w:tc>
      </w:tr>
      <w:tr>
        <w:tc>
          <w:tcPr/>
          <w:p>
            <w:pPr>
              <w:pStyle w:val="Compact"/>
              <w:jc w:val="left"/>
            </w:pPr>
            <w:r>
              <w:rPr>
                <w:bCs/>
                <w:b/>
              </w:rPr>
              <w:t xml:space="preserve">Project Site:</w:t>
            </w:r>
          </w:p>
        </w:tc>
        <w:tc>
          <w:tcPr/>
          <w:p>
            <w:pPr>
              <w:pStyle w:val="Compact"/>
              <w:jc w:val="left"/>
            </w:pPr>
            <w:r>
              <w:t xml:space="preserve">Zone Industrielle de Vridi, Abidjan, Ivory Coast</w:t>
            </w:r>
          </w:p>
        </w:tc>
      </w:tr>
      <w:tr>
        <w:tc>
          <w:tcPr/>
          <w:p>
            <w:pPr>
              <w:pStyle w:val="Compact"/>
              <w:jc w:val="left"/>
            </w:pPr>
            <w:r>
              <w:rPr>
                <w:bCs/>
                <w:b/>
              </w:rPr>
              <w:t xml:space="preserve">Project Reference:</w:t>
            </w:r>
          </w:p>
        </w:tc>
        <w:tc>
          <w:tcPr/>
          <w:p>
            <w:pPr>
              <w:pStyle w:val="Compact"/>
              <w:jc w:val="left"/>
            </w:pPr>
            <w:r>
              <w:t xml:space="preserve">SIDU-ENV-2025-018</w:t>
            </w:r>
          </w:p>
        </w:tc>
      </w:tr>
      <w:tr>
        <w:tc>
          <w:tcPr/>
          <w:p>
            <w:pPr>
              <w:pStyle w:val="Compact"/>
              <w:jc w:val="left"/>
            </w:pPr>
            <w:r>
              <w:rPr>
                <w:bCs/>
                <w:b/>
              </w:rPr>
              <w:t xml:space="preserve">Point of Contact:</w:t>
            </w:r>
          </w:p>
        </w:tc>
        <w:tc>
          <w:tcPr/>
          <w:p>
            <w:pPr>
              <w:pStyle w:val="Compact"/>
              <w:jc w:val="left"/>
            </w:pPr>
            <w:r>
              <w:t xml:space="preserve">M. Jean-Marc Kouassi, Director of Infrastructure</w:t>
            </w:r>
          </w:p>
        </w:tc>
      </w:tr>
    </w:tbl>
    <w:bookmarkEnd w:id="21"/>
    <w:bookmarkStart w:id="22" w:name="Xf295acc3e1de01af9c2931e3414ac008807f668"/>
    <w:p>
      <w:pPr>
        <w:pStyle w:val="Heading2"/>
      </w:pPr>
      <w:r>
        <w:t xml:space="preserve">2. Scope of Work — Environmental Engineer Services</w:t>
      </w:r>
    </w:p>
    <w:p>
      <w:pPr>
        <w:pStyle w:val="FirstParagraph"/>
      </w:pPr>
      <w:r>
        <w:t xml:space="preserve">This</w:t>
      </w:r>
      <w:r>
        <w:t xml:space="preserve"> </w:t>
      </w:r>
      <w:r>
        <w:t xml:space="preserve">Quotation Estimate</w:t>
      </w:r>
      <w:r>
        <w:t xml:space="preserve"> </w:t>
      </w:r>
      <w:r>
        <w:t xml:space="preserve">is issued by EcoSolutions Consulting SARL to provide comprehensive</w:t>
      </w:r>
      <w:r>
        <w:t xml:space="preserve"> </w:t>
      </w:r>
      <w:r>
        <w:t xml:space="preserve">Environmental Engineer</w:t>
      </w:r>
      <w:r>
        <w:t xml:space="preserve"> </w:t>
      </w:r>
      <w:r>
        <w:t xml:space="preserve">consulting services for the proposed mixed-use development project located in the Vridi industrial zone of</w:t>
      </w:r>
      <w:r>
        <w:t xml:space="preserve"> </w:t>
      </w:r>
      <w:r>
        <w:t xml:space="preserve">Ivory Coast Abidjan</w:t>
      </w:r>
      <w:r>
        <w:t xml:space="preserve">. The scope encompasses all phases of environmental assessment, regulatory compliance, mitigation planning, and ongoing monitoring required under the environmental legislation of the Republic of Côte d'Ivoire, including the provisions of Law No. 2016-484 on environmental protection and the regulations issued by the Direction Générale de l'Environnement (DGE).</w:t>
      </w:r>
    </w:p>
    <w:p>
      <w:pPr>
        <w:pStyle w:val="BodyText"/>
      </w:pPr>
      <w:r>
        <w:t xml:space="preserve">The</w:t>
      </w:r>
      <w:r>
        <w:t xml:space="preserve"> </w:t>
      </w:r>
      <w:r>
        <w:t xml:space="preserve">Environmental Engineer</w:t>
      </w:r>
      <w:r>
        <w:t xml:space="preserve"> </w:t>
      </w:r>
      <w:r>
        <w:t xml:space="preserve">team assigned to this project will conduct a full Environmental and Social Impact Assessment (ESIA), prepare the Environmental Management Plan (EMP), coordinate with the Ivorian Ministry of Environment and Sustainable Development, and deliver all documentation necessary for the issuance of the environmental authorization permit. All fieldwork, laboratory analyses, and stakeholder consultations will be executed within the Abidjan metropolitan area and its immediate surroundings.</w:t>
      </w:r>
    </w:p>
    <w:bookmarkEnd w:id="22"/>
    <w:bookmarkStart w:id="23" w:name="detailed-cost-breakdown"/>
    <w:p>
      <w:pPr>
        <w:pStyle w:val="Heading2"/>
      </w:pPr>
      <w:r>
        <w:t xml:space="preserve">3. Detailed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01</w:t>
            </w:r>
          </w:p>
        </w:tc>
        <w:tc>
          <w:tcPr/>
          <w:p>
            <w:pPr>
              <w:pStyle w:val="Compact"/>
              <w:jc w:val="left"/>
            </w:pPr>
            <w:r>
              <w:t xml:space="preserve">Desktop study and baseline environmental data collection for the</w:t>
            </w:r>
            <w:r>
              <w:t xml:space="preserve"> </w:t>
            </w:r>
            <w:r>
              <w:t xml:space="preserve">Ivory Coast Abidjan</w:t>
            </w:r>
            <w:r>
              <w:t xml:space="preserve"> </w:t>
            </w:r>
            <w:r>
              <w:t xml:space="preserve">project site (soil, water, air, biodiversity)</w:t>
            </w:r>
          </w:p>
        </w:tc>
        <w:tc>
          <w:tcPr/>
          <w:p>
            <w:pPr>
              <w:pStyle w:val="Compact"/>
              <w:jc w:val="left"/>
            </w:pPr>
            <w:r>
              <w:t xml:space="preserve">Lot</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Field surveys: soil sampling (25 points), groundwater monitoring (12 boreholes), ambient air quality measurement (4 stations over 30 days)</w:t>
            </w:r>
          </w:p>
        </w:tc>
        <w:tc>
          <w:tcPr/>
          <w:p>
            <w:pPr>
              <w:pStyle w:val="Compact"/>
              <w:jc w:val="left"/>
            </w:pPr>
            <w:r>
              <w:t xml:space="preserve">Lot</w:t>
            </w:r>
          </w:p>
        </w:tc>
        <w:tc>
          <w:tcPr/>
          <w:p>
            <w:pPr>
              <w:pStyle w:val="Compact"/>
              <w:jc w:val="left"/>
            </w:pPr>
            <w:r>
              <w:t xml:space="preserve">1</w:t>
            </w:r>
          </w:p>
        </w:tc>
        <w:tc>
          <w:tcPr/>
          <w:p>
            <w:pPr>
              <w:pStyle w:val="Compact"/>
              <w:jc w:val="left"/>
            </w:pPr>
            <w:r>
              <w:t xml:space="preserve">7,800,000</w:t>
            </w:r>
          </w:p>
        </w:tc>
        <w:tc>
          <w:tcPr/>
          <w:p>
            <w:pPr>
              <w:pStyle w:val="Compact"/>
              <w:jc w:val="left"/>
            </w:pPr>
            <w:r>
              <w:t xml:space="preserve">7,800,000</w:t>
            </w:r>
          </w:p>
        </w:tc>
      </w:tr>
      <w:tr>
        <w:tc>
          <w:tcPr/>
          <w:p>
            <w:pPr>
              <w:pStyle w:val="Compact"/>
              <w:jc w:val="left"/>
            </w:pPr>
            <w:r>
              <w:t xml:space="preserve">03</w:t>
            </w:r>
          </w:p>
        </w:tc>
        <w:tc>
          <w:tcPr/>
          <w:p>
            <w:pPr>
              <w:pStyle w:val="Compact"/>
              <w:jc w:val="left"/>
            </w:pPr>
            <w:r>
              <w:t xml:space="preserve">Ecological and biodiversity survey of the coastal and mangrove zones adjacent to the Vridi site</w:t>
            </w:r>
          </w:p>
        </w:tc>
        <w:tc>
          <w:tcPr/>
          <w:p>
            <w:pPr>
              <w:pStyle w:val="Compact"/>
              <w:jc w:val="left"/>
            </w:pPr>
            <w:r>
              <w:t xml:space="preserve">Lot</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04</w:t>
            </w:r>
          </w:p>
        </w:tc>
        <w:tc>
          <w:tcPr/>
          <w:p>
            <w:pPr>
              <w:pStyle w:val="Compact"/>
              <w:jc w:val="left"/>
            </w:pPr>
            <w:r>
              <w:t xml:space="preserve">Preparation of the full ESIA report in French and English, including public consultation reports</w:t>
            </w:r>
          </w:p>
        </w:tc>
        <w:tc>
          <w:tcPr/>
          <w:p>
            <w:pPr>
              <w:pStyle w:val="Compact"/>
              <w:jc w:val="left"/>
            </w:pPr>
            <w:r>
              <w:t xml:space="preserve">Lot</w:t>
            </w:r>
          </w:p>
        </w:tc>
        <w:tc>
          <w:tcPr/>
          <w:p>
            <w:pPr>
              <w:pStyle w:val="Compact"/>
              <w:jc w:val="left"/>
            </w:pPr>
            <w:r>
              <w:t xml:space="preserve">1</w:t>
            </w:r>
          </w:p>
        </w:tc>
        <w:tc>
          <w:tcPr/>
          <w:p>
            <w:pPr>
              <w:pStyle w:val="Compact"/>
              <w:jc w:val="left"/>
            </w:pPr>
            <w:r>
              <w:t xml:space="preserve">6,500,000</w:t>
            </w:r>
          </w:p>
        </w:tc>
        <w:tc>
          <w:tcPr/>
          <w:p>
            <w:pPr>
              <w:pStyle w:val="Compact"/>
              <w:jc w:val="left"/>
            </w:pPr>
            <w:r>
              <w:t xml:space="preserve">6,500,000</w:t>
            </w:r>
          </w:p>
        </w:tc>
      </w:tr>
      <w:tr>
        <w:tc>
          <w:tcPr/>
          <w:p>
            <w:pPr>
              <w:pStyle w:val="Compact"/>
              <w:jc w:val="left"/>
            </w:pPr>
            <w:r>
              <w:t xml:space="preserve">05</w:t>
            </w:r>
          </w:p>
        </w:tc>
        <w:tc>
          <w:tcPr/>
          <w:p>
            <w:pPr>
              <w:pStyle w:val="Compact"/>
              <w:jc w:val="left"/>
            </w:pPr>
            <w:r>
              <w:t xml:space="preserve">Environmental Management Plan (EMP) and Environmental Monitoring Plan (EMP-M) development</w:t>
            </w:r>
          </w:p>
        </w:tc>
        <w:tc>
          <w:tcPr/>
          <w:p>
            <w:pPr>
              <w:pStyle w:val="Compact"/>
              <w:jc w:val="left"/>
            </w:pPr>
            <w:r>
              <w:t xml:space="preserve">Lot</w:t>
            </w:r>
          </w:p>
        </w:tc>
        <w:tc>
          <w:tcPr/>
          <w:p>
            <w:pPr>
              <w:pStyle w:val="Compact"/>
              <w:jc w:val="left"/>
            </w:pPr>
            <w:r>
              <w:t xml:space="preserve">1</w:t>
            </w:r>
          </w:p>
        </w:tc>
        <w:tc>
          <w:tcPr/>
          <w:p>
            <w:pPr>
              <w:pStyle w:val="Compact"/>
              <w:jc w:val="left"/>
            </w:pPr>
            <w:r>
              <w:t xml:space="preserve">4,000,000</w:t>
            </w:r>
          </w:p>
        </w:tc>
        <w:tc>
          <w:tcPr/>
          <w:p>
            <w:pPr>
              <w:pStyle w:val="Compact"/>
              <w:jc w:val="left"/>
            </w:pPr>
            <w:r>
              <w:t xml:space="preserve">4,000,000</w:t>
            </w:r>
          </w:p>
        </w:tc>
      </w:tr>
      <w:tr>
        <w:tc>
          <w:tcPr/>
          <w:p>
            <w:pPr>
              <w:pStyle w:val="Compact"/>
              <w:jc w:val="left"/>
            </w:pPr>
            <w:r>
              <w:t xml:space="preserve">06</w:t>
            </w:r>
          </w:p>
        </w:tc>
        <w:tc>
          <w:tcPr/>
          <w:p>
            <w:pPr>
              <w:pStyle w:val="Compact"/>
              <w:jc w:val="left"/>
            </w:pPr>
            <w:r>
              <w:t xml:space="preserve">Regulatory liaison and submission of the</w:t>
            </w:r>
            <w:r>
              <w:t xml:space="preserve"> </w:t>
            </w:r>
            <w:r>
              <w:t xml:space="preserve">Environmental Engineer</w:t>
            </w:r>
            <w:r>
              <w:t xml:space="preserve"> </w:t>
            </w:r>
            <w:r>
              <w:t xml:space="preserve">dossier to the DGE and Ministry of Environment in Abidjan</w:t>
            </w:r>
          </w:p>
        </w:tc>
        <w:tc>
          <w:tcPr/>
          <w:p>
            <w:pPr>
              <w:pStyle w:val="Compact"/>
              <w:jc w:val="left"/>
            </w:pPr>
            <w:r>
              <w:t xml:space="preserve">Lot</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07</w:t>
            </w:r>
          </w:p>
        </w:tc>
        <w:tc>
          <w:tcPr/>
          <w:p>
            <w:pPr>
              <w:pStyle w:val="Compact"/>
              <w:jc w:val="left"/>
            </w:pPr>
            <w:r>
              <w:t xml:space="preserve">Public consultation sessions (minimum 3 sessions) with local communities in the</w:t>
            </w:r>
            <w:r>
              <w:t xml:space="preserve"> </w:t>
            </w:r>
            <w:r>
              <w:t xml:space="preserve">Ivory Coast Abidjan</w:t>
            </w:r>
            <w:r>
              <w:t xml:space="preserve"> </w:t>
            </w:r>
            <w:r>
              <w:t xml:space="preserve">area</w:t>
            </w:r>
          </w:p>
        </w:tc>
        <w:tc>
          <w:tcPr/>
          <w:p>
            <w:pPr>
              <w:pStyle w:val="Compact"/>
              <w:jc w:val="left"/>
            </w:pPr>
            <w:r>
              <w:t xml:space="preserve">Session</w:t>
            </w:r>
          </w:p>
        </w:tc>
        <w:tc>
          <w:tcPr/>
          <w:p>
            <w:pPr>
              <w:pStyle w:val="Compact"/>
              <w:jc w:val="left"/>
            </w:pPr>
            <w:r>
              <w:t xml:space="preserve">3</w:t>
            </w:r>
          </w:p>
        </w:tc>
        <w:tc>
          <w:tcPr/>
          <w:p>
            <w:pPr>
              <w:pStyle w:val="Compact"/>
              <w:jc w:val="left"/>
            </w:pPr>
            <w:r>
              <w:t xml:space="preserve">1,200,000</w:t>
            </w:r>
          </w:p>
        </w:tc>
        <w:tc>
          <w:tcPr/>
          <w:p>
            <w:pPr>
              <w:pStyle w:val="Compact"/>
              <w:jc w:val="left"/>
            </w:pPr>
            <w:r>
              <w:t xml:space="preserve">3,600,000</w:t>
            </w:r>
          </w:p>
        </w:tc>
      </w:tr>
      <w:tr>
        <w:tc>
          <w:tcPr/>
          <w:p>
            <w:pPr>
              <w:pStyle w:val="Compact"/>
              <w:jc w:val="left"/>
            </w:pPr>
            <w:r>
              <w:t xml:space="preserve">08</w:t>
            </w:r>
          </w:p>
        </w:tc>
        <w:tc>
          <w:tcPr/>
          <w:p>
            <w:pPr>
              <w:pStyle w:val="Compact"/>
              <w:jc w:val="left"/>
            </w:pPr>
            <w:r>
              <w:t xml:space="preserve">Post-construction environmental monitoring (12 months) — quarterly site inspections and laboratory re-analysis</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1,800,000</w:t>
            </w:r>
          </w:p>
        </w:tc>
        <w:tc>
          <w:tcPr/>
          <w:p>
            <w:pPr>
              <w:pStyle w:val="Compact"/>
              <w:jc w:val="left"/>
            </w:pPr>
            <w:r>
              <w:t xml:space="preserve">21,600,000</w:t>
            </w:r>
          </w:p>
        </w:tc>
      </w:tr>
      <w:tr>
        <w:tc>
          <w:tcPr/>
          <w:p>
            <w:pPr>
              <w:pStyle w:val="Compact"/>
              <w:jc w:val="left"/>
            </w:pPr>
            <w:r>
              <w:t xml:space="preserve">09</w:t>
            </w:r>
          </w:p>
        </w:tc>
        <w:tc>
          <w:tcPr/>
          <w:p>
            <w:pPr>
              <w:pStyle w:val="Compact"/>
              <w:jc w:val="left"/>
            </w:pPr>
            <w:r>
              <w:t xml:space="preserve">Waste management plan and hazardous waste disposal coordination for the construction phase</w:t>
            </w:r>
          </w:p>
        </w:tc>
        <w:tc>
          <w:tcPr/>
          <w:p>
            <w:pPr>
              <w:pStyle w:val="Compact"/>
              <w:jc w:val="left"/>
            </w:pPr>
            <w:r>
              <w:t xml:space="preserve">Lot</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10</w:t>
            </w:r>
          </w:p>
        </w:tc>
        <w:tc>
          <w:tcPr/>
          <w:p>
            <w:pPr>
              <w:pStyle w:val="Compact"/>
              <w:jc w:val="left"/>
            </w:pPr>
            <w:r>
              <w:t xml:space="preserve">Project management, reporting, and administrative overhead for the</w:t>
            </w:r>
            <w:r>
              <w:t xml:space="preserve"> </w:t>
            </w:r>
            <w:r>
              <w:t xml:space="preserve">Environmental Engineer</w:t>
            </w:r>
            <w:r>
              <w:t xml:space="preserve"> </w:t>
            </w:r>
            <w:r>
              <w:t xml:space="preserve">consultancy</w:t>
            </w:r>
          </w:p>
        </w:tc>
        <w:tc>
          <w:tcPr/>
          <w:p>
            <w:pPr>
              <w:pStyle w:val="Compact"/>
              <w:jc w:val="left"/>
            </w:pPr>
            <w:r>
              <w:t xml:space="preserve">Lot</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r>
        <w:tc>
          <w:tcPr>
            <w:gridSpan w:val="5"/>
          </w:tcPr>
          <w:p>
            <w:pPr>
              <w:pStyle w:val="Compact"/>
              <w:jc w:val="left"/>
            </w:pPr>
            <w:r>
              <w:t xml:space="preserve">SUBTOTAL</w:t>
            </w:r>
          </w:p>
        </w:tc>
        <w:tc>
          <w:tcPr/>
          <w:p>
            <w:pPr>
              <w:pStyle w:val="Compact"/>
              <w:jc w:val="left"/>
            </w:pPr>
            <w:r>
              <w:t xml:space="preserve">60,000,000</w:t>
            </w:r>
          </w:p>
        </w:tc>
      </w:tr>
      <w:tr>
        <w:tc>
          <w:tcPr>
            <w:gridSpan w:val="5"/>
          </w:tcPr>
          <w:p>
            <w:pPr>
              <w:pStyle w:val="Compact"/>
              <w:jc w:val="left"/>
            </w:pPr>
            <w:r>
              <w:t xml:space="preserve">VAT (18%) — Côte d'Ivoire</w:t>
            </w:r>
          </w:p>
        </w:tc>
        <w:tc>
          <w:tcPr/>
          <w:p>
            <w:pPr>
              <w:pStyle w:val="Compact"/>
              <w:jc w:val="left"/>
            </w:pPr>
            <w:r>
              <w:t xml:space="preserve">10,800,000</w:t>
            </w:r>
          </w:p>
        </w:tc>
      </w:tr>
      <w:tr>
        <w:tc>
          <w:tcPr>
            <w:gridSpan w:val="5"/>
          </w:tcPr>
          <w:p>
            <w:pPr>
              <w:pStyle w:val="Compact"/>
              <w:jc w:val="left"/>
            </w:pPr>
            <w:r>
              <w:t xml:space="preserve">GRAND TOTAL (XOF)</w:t>
            </w:r>
          </w:p>
        </w:tc>
        <w:tc>
          <w:tcPr/>
          <w:p>
            <w:pPr>
              <w:pStyle w:val="Compact"/>
              <w:jc w:val="left"/>
            </w:pPr>
            <w:r>
              <w:t xml:space="preserve">70,800,000</w:t>
            </w:r>
          </w:p>
        </w:tc>
      </w:tr>
    </w:tbl>
    <w:bookmarkEnd w:id="23"/>
    <w:bookmarkStart w:id="24" w:name="payment-schedule"/>
    <w:p>
      <w:pPr>
        <w:pStyle w:val="Heading2"/>
      </w:pPr>
      <w:r>
        <w:t xml:space="preserve">4. Payment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(XOF)</w:t>
            </w:r>
          </w:p>
        </w:tc>
      </w:tr>
      <w:tr>
        <w:tc>
          <w:tcPr/>
          <w:p>
            <w:pPr>
              <w:pStyle w:val="Compact"/>
              <w:jc w:val="left"/>
            </w:pPr>
            <w:r>
              <w:t xml:space="preserve">Contract signing and mobilization</w:t>
            </w:r>
          </w:p>
        </w:tc>
        <w:tc>
          <w:tcPr/>
          <w:p>
            <w:pPr>
              <w:pStyle w:val="Compact"/>
              <w:jc w:val="left"/>
            </w:pPr>
            <w:r>
              <w:t xml:space="preserve">20%</w:t>
            </w:r>
          </w:p>
        </w:tc>
        <w:tc>
          <w:tcPr/>
          <w:p>
            <w:pPr>
              <w:pStyle w:val="Compact"/>
              <w:jc w:val="left"/>
            </w:pPr>
            <w:r>
              <w:t xml:space="preserve">14,160,000</w:t>
            </w:r>
          </w:p>
        </w:tc>
      </w:tr>
      <w:tr>
        <w:tc>
          <w:tcPr/>
          <w:p>
            <w:pPr>
              <w:pStyle w:val="Compact"/>
              <w:jc w:val="left"/>
            </w:pPr>
            <w:r>
              <w:t xml:space="preserve">Submission of ESIA report and EMP to DGE</w:t>
            </w:r>
          </w:p>
        </w:tc>
        <w:tc>
          <w:tcPr/>
          <w:p>
            <w:pPr>
              <w:pStyle w:val="Compact"/>
              <w:jc w:val="left"/>
            </w:pPr>
            <w:r>
              <w:t xml:space="preserve">30%</w:t>
            </w:r>
          </w:p>
        </w:tc>
        <w:tc>
          <w:tcPr/>
          <w:p>
            <w:pPr>
              <w:pStyle w:val="Compact"/>
              <w:jc w:val="left"/>
            </w:pPr>
            <w:r>
              <w:t xml:space="preserve">21,240,000</w:t>
            </w:r>
          </w:p>
        </w:tc>
      </w:tr>
      <w:tr>
        <w:tc>
          <w:tcPr/>
          <w:p>
            <w:pPr>
              <w:pStyle w:val="Compact"/>
              <w:jc w:val="left"/>
            </w:pPr>
            <w:r>
              <w:t xml:space="preserve">Issuance of environmental authorization permit</w:t>
            </w:r>
          </w:p>
        </w:tc>
        <w:tc>
          <w:tcPr/>
          <w:p>
            <w:pPr>
              <w:pStyle w:val="Compact"/>
              <w:jc w:val="left"/>
            </w:pPr>
            <w:r>
              <w:t xml:space="preserve">25%</w:t>
            </w:r>
          </w:p>
        </w:tc>
        <w:tc>
          <w:tcPr/>
          <w:p>
            <w:pPr>
              <w:pStyle w:val="Compact"/>
              <w:jc w:val="left"/>
            </w:pPr>
            <w:r>
              <w:t xml:space="preserve">17,700,000</w:t>
            </w:r>
          </w:p>
        </w:tc>
      </w:tr>
      <w:tr>
        <w:tc>
          <w:tcPr/>
          <w:p>
            <w:pPr>
              <w:pStyle w:val="Compact"/>
              <w:jc w:val="left"/>
            </w:pPr>
            <w:r>
              <w:t xml:space="preserve">Completion of 12-month monitoring period</w:t>
            </w:r>
          </w:p>
        </w:tc>
        <w:tc>
          <w:tcPr/>
          <w:p>
            <w:pPr>
              <w:pStyle w:val="Compact"/>
              <w:jc w:val="left"/>
            </w:pPr>
            <w:r>
              <w:t xml:space="preserve">25%</w:t>
            </w:r>
          </w:p>
        </w:tc>
        <w:tc>
          <w:tcPr/>
          <w:p>
            <w:pPr>
              <w:pStyle w:val="Compact"/>
              <w:jc w:val="left"/>
            </w:pPr>
            <w:r>
              <w:t xml:space="preserve">17,700,000</w:t>
            </w:r>
          </w:p>
        </w:tc>
      </w:tr>
    </w:tbl>
    <w:bookmarkEnd w:id="24"/>
    <w:bookmarkStart w:id="25" w:name="project-duration"/>
    <w:p>
      <w:pPr>
        <w:pStyle w:val="Heading2"/>
      </w:pPr>
      <w:r>
        <w:t xml:space="preserve">5. Project Duration</w:t>
      </w:r>
    </w:p>
    <w:p>
      <w:pPr>
        <w:pStyle w:val="FirstParagraph"/>
      </w:pPr>
      <w:r>
        <w:t xml:space="preserve">The total estimated duration for the</w:t>
      </w:r>
      <w:r>
        <w:t xml:space="preserve"> </w:t>
      </w:r>
      <w:r>
        <w:t xml:space="preserve">Environmental Engineer</w:t>
      </w:r>
      <w:r>
        <w:t xml:space="preserve"> </w:t>
      </w:r>
      <w:r>
        <w:t xml:space="preserve">engagement is eighteen (18) months from the date of contract signature. The pre-construction phase (items 01–07 and 09) is estimated at six (6) months, and the post-construction monitoring phase (item 08) spans twelve (12) months. All timelines are subject to the review and approval schedules of the Ivorian regulatory authorities in</w:t>
      </w:r>
      <w:r>
        <w:t xml:space="preserve"> </w:t>
      </w:r>
      <w:r>
        <w:t xml:space="preserve">Ivory Coast Abidjan</w:t>
      </w:r>
      <w:r>
        <w:t xml:space="preserve">.</w:t>
      </w:r>
    </w:p>
    <w:bookmarkEnd w:id="25"/>
    <w:bookmarkStart w:id="27" w:name="terms-and-conditions"/>
    <w:p>
      <w:pPr>
        <w:pStyle w:val="Heading2"/>
      </w:pPr>
      <w:r>
        <w:t xml:space="preserve">6. Terms and Conditions</w:t>
      </w:r>
    </w:p>
    <w:bookmarkStart w:id="26" w:name="X7e7ddccf80a63ed9003e5c8acbf61c1efe0ffc7"/>
    <w:p>
      <w:pPr>
        <w:pStyle w:val="Heading3"/>
      </w:pPr>
      <w:r>
        <w:t xml:space="preserve">Important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ninety (90) days from the date of issue. Beyond this period, prices may be revised to reflect changes in material costs, exchange rates, or regulatory requirements in Ivory Coast.</w:t>
      </w:r>
    </w:p>
    <w:p>
      <w:pPr>
        <w:numPr>
          <w:ilvl w:val="0"/>
          <w:numId w:val="1001"/>
        </w:numPr>
        <w:pStyle w:val="Compact"/>
      </w:pPr>
      <w:r>
        <w:t xml:space="preserve">All prices are quoted in West African CFA Francs (XOF) and are inclusive of all professional fees, fieldwork, laboratory analyses, and travel within the Abidjan metropolitan area. Travel outside the Abidjan region will be billed at cost.</w:t>
      </w:r>
    </w:p>
    <w:p>
      <w:pPr>
        <w:numPr>
          <w:ilvl w:val="0"/>
          <w:numId w:val="1001"/>
        </w:numPr>
        <w:pStyle w:val="Compact"/>
      </w:pPr>
      <w:r>
        <w:t xml:space="preserve">The</w:t>
      </w:r>
      <w:r>
        <w:t xml:space="preserve"> </w:t>
      </w:r>
      <w:r>
        <w:t xml:space="preserve">Environmental Engineer</w:t>
      </w:r>
      <w:r>
        <w:t xml:space="preserve"> </w:t>
      </w:r>
      <w:r>
        <w:t xml:space="preserve">services described herein are subject to the availability of the assigned technical team. In the event of force majeure, timelines will be adjusted by mutual written agreement.</w:t>
      </w:r>
    </w:p>
    <w:p>
      <w:pPr>
        <w:numPr>
          <w:ilvl w:val="0"/>
          <w:numId w:val="1001"/>
        </w:numPr>
        <w:pStyle w:val="Compact"/>
      </w:pPr>
      <w:r>
        <w:t xml:space="preserve">Payment terms: Net 30 days from the date of invoice. Late payments shall accrue interest at the rate of 1.5% per month as per Ivorian commercial law.</w:t>
      </w:r>
    </w:p>
    <w:p>
      <w:pPr>
        <w:numPr>
          <w:ilvl w:val="0"/>
          <w:numId w:val="1001"/>
        </w:numPr>
        <w:pStyle w:val="Compact"/>
      </w:pPr>
      <w:r>
        <w:t xml:space="preserve">All deliverables, including the ESIA, EMP, and monitoring reports, shall be provided in both French (official language of Côte d'Ivoire) and English. The French version shall prevail in the event of any discrepancy.</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A formal service agreement must be executed by both parties before any work commences.</w:t>
      </w:r>
    </w:p>
    <w:p>
      <w:pPr>
        <w:numPr>
          <w:ilvl w:val="0"/>
          <w:numId w:val="1001"/>
        </w:numPr>
        <w:pStyle w:val="Compact"/>
      </w:pPr>
      <w:r>
        <w:t xml:space="preserve">The client is responsible for providing site access, existing project documentation, and any third-party data required by the</w:t>
      </w:r>
      <w:r>
        <w:t xml:space="preserve"> </w:t>
      </w:r>
      <w:r>
        <w:t xml:space="preserve">Environmental Engineer</w:t>
      </w:r>
      <w:r>
        <w:t xml:space="preserve"> </w:t>
      </w:r>
      <w:r>
        <w:t xml:space="preserve">team to complete the assessment.</w:t>
      </w:r>
    </w:p>
    <w:p>
      <w:pPr>
        <w:numPr>
          <w:ilvl w:val="0"/>
          <w:numId w:val="1001"/>
        </w:numPr>
        <w:pStyle w:val="Compact"/>
      </w:pPr>
      <w:r>
        <w:t xml:space="preserve">Confidentiality: All data collected during the engagement in</w:t>
      </w:r>
      <w:r>
        <w:t xml:space="preserve"> </w:t>
      </w:r>
      <w:r>
        <w:t xml:space="preserve">Ivory Coast Abidjan</w:t>
      </w:r>
      <w:r>
        <w:t xml:space="preserve"> </w:t>
      </w:r>
      <w:r>
        <w:t xml:space="preserve">shall be treated as confidential and shall not be disclosed to third parties without written consent.</w:t>
      </w:r>
    </w:p>
    <w:bookmarkEnd w:id="26"/>
    <w:bookmarkEnd w:id="27"/>
    <w:bookmarkStart w:id="28" w:name="acceptance-and-authorization"/>
    <w:p>
      <w:pPr>
        <w:pStyle w:val="Heading2"/>
      </w:pPr>
      <w:r>
        <w:t xml:space="preserve">7.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scope, pricing, and terms outlined above for the</w:t>
      </w:r>
      <w:r>
        <w:t xml:space="preserve"> </w:t>
      </w:r>
      <w:r>
        <w:t xml:space="preserve">Environmental Engineer</w:t>
      </w:r>
      <w:r>
        <w:t xml:space="preserve"> </w:t>
      </w:r>
      <w:r>
        <w:t xml:space="preserve">services to be performed in</w:t>
      </w:r>
      <w:r>
        <w:t xml:space="preserve"> </w:t>
      </w:r>
      <w:r>
        <w:t xml:space="preserve">Ivory Coast Abidjan</w:t>
      </w:r>
      <w:r>
        <w:t xml:space="preserve">.</w:t>
      </w:r>
    </w:p>
    <w:p>
      <w:pPr>
        <w:pStyle w:val="BodyText"/>
      </w:pPr>
      <w:r>
        <w:rPr>
          <w:bCs/>
          <w:b/>
        </w:rPr>
        <w:t xml:space="preserve">For EcoSolutions Consulting SARL</w:t>
      </w:r>
    </w:p>
    <w:p>
      <w:pPr>
        <w:pStyle w:val="BodyText"/>
      </w:pPr>
      <w:r>
        <w:t xml:space="preserve">Dr. Awa Diabaté — Lead Environmental Engineer</w:t>
      </w:r>
      <w:r>
        <w:br/>
      </w:r>
      <w:r>
        <w:t xml:space="preserve">Signature &amp; Company Seal</w:t>
      </w:r>
    </w:p>
    <w:p>
      <w:pPr>
        <w:pStyle w:val="BodyText"/>
      </w:pPr>
      <w:r>
        <w:rPr>
          <w:bCs/>
          <w:b/>
        </w:rPr>
        <w:t xml:space="preserve">For the Client (SIDU)</w:t>
      </w:r>
    </w:p>
    <w:p>
      <w:pPr>
        <w:pStyle w:val="BodyText"/>
      </w:pPr>
      <w:r>
        <w:t xml:space="preserve">M. Jean-Marc Kouassi — Director</w:t>
      </w:r>
      <w:r>
        <w:br/>
      </w:r>
      <w:r>
        <w:t xml:space="preserve">Signature &amp; Company Seal</w:t>
      </w:r>
    </w:p>
    <w:p>
      <w:pPr>
        <w:pStyle w:val="BodyText"/>
      </w:pPr>
      <w:r>
        <w:t xml:space="preserve">EcoSolutions Consulting SARL — Boulevard Latrille, Cocody, Abidjan, Côte d'Ivoire</w:t>
      </w:r>
      <w:r>
        <w:br/>
      </w:r>
      <w:r>
        <w:t xml:space="preserve">RCCM: CI-ABJ-2019-B-04521  |  NIF: 0025487912CI  |  Tel: +225 27 22 45 67 89  |  Email: info@ecosolutions-ci.com</w:t>
      </w:r>
    </w:p>
    <w:p>
      <w:pPr>
        <w:pStyle w:val="BodyText"/>
      </w:pPr>
      <w:r>
        <w:t xml:space="preserve">This Quotation Estimate document is generated electronically and is valid without a physical stamp. © 2025 EcoSolutions Consulting SARL.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Environmental Engineer Services - Ivory Coast Abidjan</dc:title>
  <dc:creator/>
  <dc:language>en</dc:language>
  <cp:keywords/>
  <dcterms:created xsi:type="dcterms:W3CDTF">2026-10-10T02:30:38Z</dcterms:created>
  <dcterms:modified xsi:type="dcterms:W3CDTF">2026-10-10T02:30:38Z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