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the Kazakhstan Almaty Region</w:t>
      </w:r>
    </w:p>
    <w:p>
      <w:pPr>
        <w:pStyle w:val="BodyText"/>
      </w:pPr>
      <w:r>
        <w:t xml:space="preserve">Document Reference: QE-ENV-2025-ALM-0047</w:t>
      </w:r>
    </w:p>
    <w:bookmarkEnd w:id="20"/>
    <w:p>
      <w:pPr>
        <w:pStyle w:val="BodyText"/>
      </w:pPr>
      <w:r>
        <w:rPr>
          <w:bCs/>
          <w:b/>
        </w:rPr>
        <w:t xml:space="preserve">Quotation Estimate No.:</w:t>
      </w:r>
      <w:r>
        <w:t xml:space="preserve"> </w:t>
      </w:r>
      <w:r>
        <w:t xml:space="preserve">QE-ENV-2025-ALM-0047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KZT (Kazakhstani Tenge)</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Service Provider</w:t>
            </w:r>
          </w:p>
        </w:tc>
        <w:tc>
          <w:tcPr/>
          <w:p>
            <w:pPr>
              <w:pStyle w:val="Compact"/>
              <w:jc w:val="left"/>
            </w:pPr>
            <w:r>
              <w:t xml:space="preserve">EcoEngineering Central Asia LLP</w:t>
            </w:r>
            <w:r>
              <w:br/>
            </w:r>
            <w:r>
              <w:t xml:space="preserve">45 Abai Avenue, Office 1204, Almaty, 050040, Kazakhstan</w:t>
            </w:r>
            <w:r>
              <w:br/>
            </w:r>
            <w:r>
              <w:t xml:space="preserve">Registration No.: 2019400001234567</w:t>
            </w:r>
            <w:r>
              <w:br/>
            </w:r>
            <w:r>
              <w:t xml:space="preserve">Contact: +7 (727) 312-45-67 | info@ecoeng-ca.kz</w:t>
            </w:r>
          </w:p>
        </w:tc>
      </w:tr>
      <w:tr>
        <w:tc>
          <w:tcPr/>
          <w:p>
            <w:pPr>
              <w:pStyle w:val="Compact"/>
              <w:jc w:val="left"/>
            </w:pPr>
            <w:r>
              <w:rPr>
                <w:bCs/>
                <w:b/>
              </w:rPr>
              <w:t xml:space="preserve">Client / Recipient</w:t>
            </w:r>
          </w:p>
        </w:tc>
        <w:tc>
          <w:tcPr/>
          <w:p>
            <w:pPr>
              <w:pStyle w:val="Compact"/>
              <w:jc w:val="left"/>
            </w:pPr>
            <w:r>
              <w:t xml:space="preserve">[Client Company Name]</w:t>
            </w:r>
            <w:r>
              <w:br/>
            </w:r>
            <w:r>
              <w:t xml:space="preserve">[Street Address], Almaty, Kazakhstan</w:t>
            </w:r>
            <w:r>
              <w:br/>
            </w:r>
            <w:r>
              <w:t xml:space="preserve">Contact: [Phone Number] | [Email Address]</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EcoEngineering Central Asia LLP to provide a comprehensive, itemized cost breakdown for the engagement of a qualified</w:t>
      </w:r>
      <w:r>
        <w:t xml:space="preserve"> </w:t>
      </w:r>
      <w:r>
        <w:t xml:space="preserve">Environmental Engineer</w:t>
      </w:r>
      <w:r>
        <w:t xml:space="preserve"> </w:t>
      </w:r>
      <w:r>
        <w:t xml:space="preserve">to deliver specialized environmental assessment, compliance, and remediation services within the</w:t>
      </w:r>
      <w:r>
        <w:t xml:space="preserve"> </w:t>
      </w:r>
      <w:r>
        <w:t xml:space="preserve">Kazakhstan Almaty</w:t>
      </w:r>
      <w:r>
        <w:t xml:space="preserve"> </w:t>
      </w:r>
      <w:r>
        <w:t xml:space="preserve">metropolitan area and surrounding regions. This document serves as a formal pricing proposal and does not constitute a binding contract until both parties execute the definitive service agreement.</w:t>
      </w:r>
    </w:p>
    <w:p>
      <w:pPr>
        <w:pStyle w:val="BodyText"/>
      </w:pPr>
      <w:r>
        <w:t xml:space="preserve">The</w:t>
      </w:r>
      <w:r>
        <w:t xml:space="preserve"> </w:t>
      </w:r>
      <w:r>
        <w:t xml:space="preserve">Environmental Engineer</w:t>
      </w:r>
      <w:r>
        <w:t xml:space="preserve"> </w:t>
      </w:r>
      <w:r>
        <w:t xml:space="preserve">services outlined in this</w:t>
      </w:r>
      <w:r>
        <w:t xml:space="preserve"> </w:t>
      </w:r>
      <w:r>
        <w:t xml:space="preserve">Quotation Estimate</w:t>
      </w:r>
      <w:r>
        <w:t xml:space="preserve"> </w:t>
      </w:r>
      <w:r>
        <w:t xml:space="preserve">are designed to meet the regulatory requirements established by the Ministry of Ecology, Geology and Water Resources of the Republic of Kazakhstan, as well as applicable local ordinances governing the Almaty city district. All work will be conducted in strict accordance with Kazakhstani environmental legislation, including the Law "On Environmental Protection" (2021 revision) and relevant sectoral regulations.</w:t>
      </w:r>
    </w:p>
    <w:bookmarkEnd w:id="22"/>
    <w:bookmarkStart w:id="23" w:name="X946df481e9cb5f270339e3d2592b4753ee415c6"/>
    <w:p>
      <w:pPr>
        <w:pStyle w:val="Heading2"/>
      </w:pPr>
      <w:r>
        <w:t xml:space="preserve">3. Detailed Scope of Environmental Engineer Services</w:t>
      </w:r>
    </w:p>
    <w:p>
      <w:pPr>
        <w:pStyle w:val="FirstParagraph"/>
      </w:pPr>
      <w:r>
        <w:t xml:space="preserve">The following services will be performed by our certified</w:t>
      </w:r>
      <w:r>
        <w:t xml:space="preserve"> </w:t>
      </w:r>
      <w:r>
        <w:t xml:space="preserve">Environmental Engineer</w:t>
      </w:r>
      <w:r>
        <w:t xml:space="preserve"> </w:t>
      </w:r>
      <w:r>
        <w:t xml:space="preserve">team in the</w:t>
      </w:r>
      <w:r>
        <w:t xml:space="preserve"> </w:t>
      </w:r>
      <w:r>
        <w:t xml:space="preserve">Kazakhstan Almaty</w:t>
      </w:r>
      <w:r>
        <w:t xml:space="preserve"> </w:t>
      </w:r>
      <w:r>
        <w:t xml:space="preserve">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(KZT)</w:t>
            </w:r>
          </w:p>
        </w:tc>
      </w:tr>
      <w:tr>
        <w:tc>
          <w:tcPr/>
          <w:p>
            <w:pPr>
              <w:pStyle w:val="Compact"/>
              <w:jc w:val="left"/>
            </w:pPr>
            <w:r>
              <w:t xml:space="preserve">1</w:t>
            </w:r>
          </w:p>
        </w:tc>
        <w:tc>
          <w:tcPr/>
          <w:p>
            <w:pPr>
              <w:pStyle w:val="Compact"/>
              <w:jc w:val="left"/>
            </w:pPr>
            <w:r>
              <w:t xml:space="preserve">Environmental Impact Assessment (EIA) preparation for industrial facility in Almaty industrial zone</w:t>
            </w:r>
          </w:p>
        </w:tc>
        <w:tc>
          <w:tcPr/>
          <w:p>
            <w:pPr>
              <w:pStyle w:val="Compact"/>
              <w:jc w:val="left"/>
            </w:pPr>
            <w:r>
              <w:t xml:space="preserve">45 working days</w:t>
            </w:r>
          </w:p>
        </w:tc>
        <w:tc>
          <w:tcPr/>
          <w:p>
            <w:pPr>
              <w:pStyle w:val="Compact"/>
              <w:jc w:val="left"/>
            </w:pPr>
            <w:r>
              <w:t xml:space="preserve">Project</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Air quality monitoring and dispersion modeling (Izmiran, Medeu, and Bostandyk districts)</w:t>
            </w:r>
          </w:p>
        </w:tc>
        <w:tc>
          <w:tcPr/>
          <w:p>
            <w:pPr>
              <w:pStyle w:val="Compact"/>
              <w:jc w:val="left"/>
            </w:pPr>
            <w:r>
              <w:t xml:space="preserve">30 working days</w:t>
            </w:r>
          </w:p>
        </w:tc>
        <w:tc>
          <w:tcPr/>
          <w:p>
            <w:pPr>
              <w:pStyle w:val="Compact"/>
              <w:jc w:val="left"/>
            </w:pPr>
            <w:r>
              <w:t xml:space="preserve">Project</w:t>
            </w:r>
          </w:p>
        </w:tc>
        <w:tc>
          <w:tcPr/>
          <w:p>
            <w:pPr>
              <w:pStyle w:val="Compact"/>
              <w:jc w:val="left"/>
            </w:pPr>
            <w:r>
              <w:t xml:space="preserve">9,200,000</w:t>
            </w:r>
          </w:p>
        </w:tc>
      </w:tr>
      <w:tr>
        <w:tc>
          <w:tcPr/>
          <w:p>
            <w:pPr>
              <w:pStyle w:val="Compact"/>
              <w:jc w:val="left"/>
            </w:pPr>
            <w:r>
              <w:t xml:space="preserve">3</w:t>
            </w:r>
          </w:p>
        </w:tc>
        <w:tc>
          <w:tcPr/>
          <w:p>
            <w:pPr>
              <w:pStyle w:val="Compact"/>
              <w:jc w:val="left"/>
            </w:pPr>
            <w:r>
              <w:t xml:space="preserve">Soil and groundwater contamination assessment and remediation plan</w:t>
            </w:r>
          </w:p>
        </w:tc>
        <w:tc>
          <w:tcPr/>
          <w:p>
            <w:pPr>
              <w:pStyle w:val="Compact"/>
              <w:jc w:val="left"/>
            </w:pPr>
            <w:r>
              <w:t xml:space="preserve">60 working days</w:t>
            </w:r>
          </w:p>
        </w:tc>
        <w:tc>
          <w:tcPr/>
          <w:p>
            <w:pPr>
              <w:pStyle w:val="Compact"/>
              <w:jc w:val="left"/>
            </w:pPr>
            <w:r>
              <w:t xml:space="preserve">Project</w:t>
            </w:r>
          </w:p>
        </w:tc>
        <w:tc>
          <w:tcPr/>
          <w:p>
            <w:pPr>
              <w:pStyle w:val="Compact"/>
              <w:jc w:val="left"/>
            </w:pPr>
            <w:r>
              <w:t xml:space="preserve">24,750,000</w:t>
            </w:r>
          </w:p>
        </w:tc>
      </w:tr>
      <w:tr>
        <w:tc>
          <w:tcPr/>
          <w:p>
            <w:pPr>
              <w:pStyle w:val="Compact"/>
              <w:jc w:val="left"/>
            </w:pPr>
            <w:r>
              <w:t xml:space="preserve">4</w:t>
            </w:r>
          </w:p>
        </w:tc>
        <w:tc>
          <w:tcPr/>
          <w:p>
            <w:pPr>
              <w:pStyle w:val="Compact"/>
              <w:jc w:val="left"/>
            </w:pPr>
            <w:r>
              <w:t xml:space="preserve">Wastewater treatment system design and compliance audit</w:t>
            </w:r>
          </w:p>
        </w:tc>
        <w:tc>
          <w:tcPr/>
          <w:p>
            <w:pPr>
              <w:pStyle w:val="Compact"/>
              <w:jc w:val="left"/>
            </w:pPr>
            <w:r>
              <w:t xml:space="preserve">40 working days</w:t>
            </w:r>
          </w:p>
        </w:tc>
        <w:tc>
          <w:tcPr/>
          <w:p>
            <w:pPr>
              <w:pStyle w:val="Compact"/>
              <w:jc w:val="left"/>
            </w:pPr>
            <w:r>
              <w:t xml:space="preserve">Project</w:t>
            </w:r>
          </w:p>
        </w:tc>
        <w:tc>
          <w:tcPr/>
          <w:p>
            <w:pPr>
              <w:pStyle w:val="Compact"/>
              <w:jc w:val="left"/>
            </w:pPr>
            <w:r>
              <w:t xml:space="preserve">15,300,000</w:t>
            </w:r>
          </w:p>
        </w:tc>
      </w:tr>
      <w:tr>
        <w:tc>
          <w:tcPr/>
          <w:p>
            <w:pPr>
              <w:pStyle w:val="Compact"/>
              <w:jc w:val="left"/>
            </w:pPr>
            <w:r>
              <w:t xml:space="preserve">5</w:t>
            </w:r>
          </w:p>
        </w:tc>
        <w:tc>
          <w:tcPr/>
          <w:p>
            <w:pPr>
              <w:pStyle w:val="Compact"/>
              <w:jc w:val="left"/>
            </w:pPr>
            <w:r>
              <w:t xml:space="preserve">Environmental management plan (EMP) development and regulatory submission</w:t>
            </w:r>
          </w:p>
        </w:tc>
        <w:tc>
          <w:tcPr/>
          <w:p>
            <w:pPr>
              <w:pStyle w:val="Compact"/>
              <w:jc w:val="left"/>
            </w:pPr>
            <w:r>
              <w:t xml:space="preserve">25 working days</w:t>
            </w:r>
          </w:p>
        </w:tc>
        <w:tc>
          <w:tcPr/>
          <w:p>
            <w:pPr>
              <w:pStyle w:val="Compact"/>
              <w:jc w:val="left"/>
            </w:pPr>
            <w:r>
              <w:t xml:space="preserve">Project</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On-site supervision by Environmental Engineer (weekly visits to Almaty project sites)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4,500,000 / mo</w:t>
            </w:r>
          </w:p>
        </w:tc>
      </w:tr>
      <w:tr>
        <w:tc>
          <w:tcPr/>
          <w:p>
            <w:pPr>
              <w:pStyle w:val="Compact"/>
              <w:jc w:val="left"/>
            </w:pPr>
            <w:r>
              <w:t xml:space="preserve">7</w:t>
            </w:r>
          </w:p>
        </w:tc>
        <w:tc>
          <w:tcPr/>
          <w:p>
            <w:pPr>
              <w:pStyle w:val="Compact"/>
              <w:jc w:val="left"/>
            </w:pPr>
            <w:r>
              <w:t xml:space="preserve">Regulatory liaison and permitting support with Almaty city environmental authority</w:t>
            </w:r>
          </w:p>
        </w:tc>
        <w:tc>
          <w:tcPr/>
          <w:p>
            <w:pPr>
              <w:pStyle w:val="Compact"/>
              <w:jc w:val="left"/>
            </w:pPr>
            <w:r>
              <w:t xml:space="preserve">Ongoing</w:t>
            </w:r>
          </w:p>
        </w:tc>
        <w:tc>
          <w:tcPr/>
          <w:p>
            <w:pPr>
              <w:pStyle w:val="Compact"/>
              <w:jc w:val="left"/>
            </w:pPr>
            <w:r>
              <w:t xml:space="preserve">Project</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Final environmental compliance report and certification</w:t>
            </w:r>
          </w:p>
        </w:tc>
        <w:tc>
          <w:tcPr/>
          <w:p>
            <w:pPr>
              <w:pStyle w:val="Compact"/>
              <w:jc w:val="left"/>
            </w:pPr>
            <w:r>
              <w:t xml:space="preserve">15 working days</w:t>
            </w:r>
          </w:p>
        </w:tc>
        <w:tc>
          <w:tcPr/>
          <w:p>
            <w:pPr>
              <w:pStyle w:val="Compact"/>
              <w:jc w:val="left"/>
            </w:pPr>
            <w:r>
              <w:t xml:space="preserve">Project</w:t>
            </w:r>
          </w:p>
        </w:tc>
        <w:tc>
          <w:tcPr/>
          <w:p>
            <w:pPr>
              <w:pStyle w:val="Compact"/>
              <w:jc w:val="left"/>
            </w:pPr>
            <w:r>
              <w:t xml:space="preserve">5,600,000</w:t>
            </w:r>
          </w:p>
        </w:tc>
      </w:tr>
    </w:tbl>
    <w:bookmarkEnd w:id="23"/>
    <w:bookmarkStart w:id="24"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(KZT)</w:t>
            </w:r>
          </w:p>
        </w:tc>
      </w:tr>
      <w:tr>
        <w:tc>
          <w:tcPr/>
          <w:p>
            <w:pPr>
              <w:pStyle w:val="Compact"/>
              <w:jc w:val="left"/>
            </w:pPr>
            <w:r>
              <w:t xml:space="preserve">Subtotal – Professional Environmental Engineer Services</w:t>
            </w:r>
          </w:p>
        </w:tc>
        <w:tc>
          <w:tcPr/>
          <w:p>
            <w:pPr>
              <w:pStyle w:val="Compact"/>
              <w:jc w:val="right"/>
            </w:pPr>
            <w:r>
              <w:t xml:space="preserve">104,350,000</w:t>
            </w:r>
          </w:p>
        </w:tc>
      </w:tr>
      <w:tr>
        <w:tc>
          <w:tcPr/>
          <w:p>
            <w:pPr>
              <w:pStyle w:val="Compact"/>
              <w:jc w:val="left"/>
            </w:pPr>
            <w:r>
              <w:t xml:space="preserve">Subtotal – On-site Supervision (12 months × 4,500,000)</w:t>
            </w:r>
          </w:p>
        </w:tc>
        <w:tc>
          <w:tcPr/>
          <w:p>
            <w:pPr>
              <w:pStyle w:val="Compact"/>
              <w:jc w:val="right"/>
            </w:pPr>
            <w:r>
              <w:t xml:space="preserve">54,000,000</w:t>
            </w:r>
          </w:p>
        </w:tc>
      </w:tr>
      <w:tr>
        <w:tc>
          <w:tcPr/>
          <w:p>
            <w:pPr>
              <w:pStyle w:val="Compact"/>
              <w:jc w:val="left"/>
            </w:pPr>
            <w:r>
              <w:t xml:space="preserve">Subtotal – Laboratory Testing and Field Equipment (Almaty)</w:t>
            </w:r>
          </w:p>
        </w:tc>
        <w:tc>
          <w:tcPr/>
          <w:p>
            <w:pPr>
              <w:pStyle w:val="Compact"/>
              <w:jc w:val="right"/>
            </w:pPr>
            <w:r>
              <w:t xml:space="preserve">12,400,000</w:t>
            </w:r>
          </w:p>
        </w:tc>
      </w:tr>
      <w:tr>
        <w:tc>
          <w:tcPr/>
          <w:p>
            <w:pPr>
              <w:pStyle w:val="Compact"/>
              <w:jc w:val="left"/>
            </w:pPr>
            <w:r>
              <w:t xml:space="preserve">VAT (12% – Kazakhstan standard rate)</w:t>
            </w:r>
          </w:p>
        </w:tc>
        <w:tc>
          <w:tcPr/>
          <w:p>
            <w:pPr>
              <w:pStyle w:val="Compact"/>
              <w:jc w:val="right"/>
            </w:pPr>
            <w:r>
              <w:t xml:space="preserve">24,882,000</w:t>
            </w:r>
          </w:p>
        </w:tc>
      </w:tr>
      <w:tr>
        <w:tc>
          <w:tcPr/>
          <w:p>
            <w:pPr>
              <w:pStyle w:val="Compact"/>
              <w:jc w:val="left"/>
            </w:pPr>
            <w:r>
              <w:t xml:space="preserve">TOTAL ESTIMATED COST</w:t>
            </w:r>
          </w:p>
        </w:tc>
        <w:tc>
          <w:tcPr/>
          <w:p>
            <w:pPr>
              <w:pStyle w:val="Compact"/>
              <w:jc w:val="right"/>
            </w:pPr>
            <w:r>
              <w:t xml:space="preserve">195,632,000 KZT</w:t>
            </w:r>
          </w:p>
        </w:tc>
      </w:tr>
      <w:tr>
        <w:tc>
          <w:tcPr/>
          <w:p>
            <w:pPr>
              <w:pStyle w:val="Compact"/>
              <w:jc w:val="left"/>
            </w:pPr>
            <w:r>
              <w:t xml:space="preserve">Approximate USD equivalent (at 1 USD = 485 KZT):</w:t>
            </w:r>
          </w:p>
        </w:tc>
        <w:tc>
          <w:tcPr/>
          <w:p>
            <w:pPr>
              <w:pStyle w:val="Compact"/>
              <w:jc w:val="right"/>
            </w:pPr>
            <w:r>
              <w:t xml:space="preserve">≈ 403,365 USD</w:t>
            </w:r>
          </w:p>
        </w:tc>
      </w:tr>
    </w:tbl>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(KZT)</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39,126,400</w:t>
            </w:r>
          </w:p>
        </w:tc>
        <w:tc>
          <w:tcPr/>
          <w:p>
            <w:pPr>
              <w:pStyle w:val="Compact"/>
              <w:jc w:val="left"/>
            </w:pPr>
            <w:r>
              <w:t xml:space="preserve">Within 10 business days of signing</w:t>
            </w:r>
          </w:p>
        </w:tc>
      </w:tr>
      <w:tr>
        <w:tc>
          <w:tcPr/>
          <w:p>
            <w:pPr>
              <w:pStyle w:val="Compact"/>
              <w:jc w:val="left"/>
            </w:pPr>
            <w:r>
              <w:t xml:space="preserve">Completion of EIA and Air Quality Assessment</w:t>
            </w:r>
          </w:p>
        </w:tc>
        <w:tc>
          <w:tcPr/>
          <w:p>
            <w:pPr>
              <w:pStyle w:val="Compact"/>
              <w:jc w:val="left"/>
            </w:pPr>
            <w:r>
              <w:t xml:space="preserve">25%</w:t>
            </w:r>
          </w:p>
        </w:tc>
        <w:tc>
          <w:tcPr/>
          <w:p>
            <w:pPr>
              <w:pStyle w:val="Compact"/>
              <w:jc w:val="left"/>
            </w:pPr>
            <w:r>
              <w:t xml:space="preserve">48,908,000</w:t>
            </w:r>
          </w:p>
        </w:tc>
        <w:tc>
          <w:tcPr/>
          <w:p>
            <w:pPr>
              <w:pStyle w:val="Compact"/>
              <w:jc w:val="left"/>
            </w:pPr>
            <w:r>
              <w:t xml:space="preserve">Upon delivery of interim reports</w:t>
            </w:r>
          </w:p>
        </w:tc>
      </w:tr>
      <w:tr>
        <w:tc>
          <w:tcPr/>
          <w:p>
            <w:pPr>
              <w:pStyle w:val="Compact"/>
              <w:jc w:val="left"/>
            </w:pPr>
            <w:r>
              <w:t xml:space="preserve">Completion of Soil/Water Remediation Plan and Wastewater Design</w:t>
            </w:r>
          </w:p>
        </w:tc>
        <w:tc>
          <w:tcPr/>
          <w:p>
            <w:pPr>
              <w:pStyle w:val="Compact"/>
              <w:jc w:val="left"/>
            </w:pPr>
            <w:r>
              <w:t xml:space="preserve">25%</w:t>
            </w:r>
          </w:p>
        </w:tc>
        <w:tc>
          <w:tcPr/>
          <w:p>
            <w:pPr>
              <w:pStyle w:val="Compact"/>
              <w:jc w:val="left"/>
            </w:pPr>
            <w:r>
              <w:t xml:space="preserve">48,908,000</w:t>
            </w:r>
          </w:p>
        </w:tc>
        <w:tc>
          <w:tcPr/>
          <w:p>
            <w:pPr>
              <w:pStyle w:val="Compact"/>
              <w:jc w:val="left"/>
            </w:pPr>
            <w:r>
              <w:t xml:space="preserve">Upon delivery of design documents</w:t>
            </w:r>
          </w:p>
        </w:tc>
      </w:tr>
      <w:tr>
        <w:tc>
          <w:tcPr/>
          <w:p>
            <w:pPr>
              <w:pStyle w:val="Compact"/>
              <w:jc w:val="left"/>
            </w:pPr>
            <w:r>
              <w:t xml:space="preserve">Final compliance report and project closeout</w:t>
            </w:r>
          </w:p>
        </w:tc>
        <w:tc>
          <w:tcPr/>
          <w:p>
            <w:pPr>
              <w:pStyle w:val="Compact"/>
              <w:jc w:val="left"/>
            </w:pPr>
            <w:r>
              <w:t xml:space="preserve">25%</w:t>
            </w:r>
          </w:p>
        </w:tc>
        <w:tc>
          <w:tcPr/>
          <w:p>
            <w:pPr>
              <w:pStyle w:val="Compact"/>
              <w:jc w:val="left"/>
            </w:pPr>
            <w:r>
              <w:t xml:space="preserve">48,908,000</w:t>
            </w:r>
          </w:p>
        </w:tc>
        <w:tc>
          <w:tcPr/>
          <w:p>
            <w:pPr>
              <w:pStyle w:val="Compact"/>
              <w:jc w:val="left"/>
            </w:pPr>
            <w:r>
              <w:t xml:space="preserve">Upon final acceptance by client</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the expiration date, all pricing for the</w:t>
      </w:r>
      <w:r>
        <w:t xml:space="preserve"> </w:t>
      </w:r>
      <w:r>
        <w:t xml:space="preserve">Environmental Engineer</w:t>
      </w:r>
      <w:r>
        <w:t xml:space="preserve"> </w:t>
      </w:r>
      <w:r>
        <w:t xml:space="preserve">services may be subject to revision based on market conditions in</w:t>
      </w:r>
      <w:r>
        <w:t xml:space="preserve"> </w:t>
      </w:r>
      <w:r>
        <w:t xml:space="preserve">Kazakhstan Almaty</w:t>
      </w:r>
      <w:r>
        <w:t xml:space="preserve">.</w:t>
      </w:r>
    </w:p>
    <w:p>
      <w:pPr>
        <w:numPr>
          <w:ilvl w:val="0"/>
          <w:numId w:val="1001"/>
        </w:numPr>
        <w:pStyle w:val="Compact"/>
      </w:pPr>
      <w:r>
        <w:t xml:space="preserve">All costs are quoted in Kazakhstani Tenge (KZT) and are inclusive of the</w:t>
      </w:r>
      <w:r>
        <w:t xml:space="preserve"> </w:t>
      </w:r>
      <w:r>
        <w:t xml:space="preserve">Environmental Engineer</w:t>
      </w:r>
      <w:r>
        <w:t xml:space="preserve">'s professional fees, travel within the Almaty city limits, and standard field equipment. Travel beyond a 50 km radius of Almaty city center will be billed separately.</w:t>
      </w:r>
    </w:p>
    <w:p>
      <w:pPr>
        <w:numPr>
          <w:ilvl w:val="0"/>
          <w:numId w:val="1001"/>
        </w:numPr>
        <w:pStyle w:val="Compact"/>
      </w:pPr>
      <w:r>
        <w:t xml:space="preserve">The</w:t>
      </w:r>
      <w:r>
        <w:t xml:space="preserve"> </w:t>
      </w:r>
      <w:r>
        <w:t xml:space="preserve">Environmental Engineer</w:t>
      </w:r>
      <w:r>
        <w:t xml:space="preserve"> </w:t>
      </w:r>
      <w:r>
        <w:t xml:space="preserve">assigned to this project holds a valid professional license issued by the Committee for Technical Regulation and Measurement of Kazakhstan and possesses a minimum of ten (10) years of experience in environmental consulting within Central Asia.</w:t>
      </w:r>
    </w:p>
    <w:p>
      <w:pPr>
        <w:numPr>
          <w:ilvl w:val="0"/>
          <w:numId w:val="1001"/>
        </w:numPr>
        <w:pStyle w:val="Compact"/>
      </w:pPr>
      <w:r>
        <w:t xml:space="preserve">Payment terms are net thirty (30) days from the date of invoice. Late payments shall accrue interest at the rate of 0.1% per calendar day as per Kazakhstani commercial law.</w:t>
      </w:r>
    </w:p>
    <w:p>
      <w:pPr>
        <w:numPr>
          <w:ilvl w:val="0"/>
          <w:numId w:val="1001"/>
        </w:numPr>
        <w:pStyle w:val="Compact"/>
      </w:pPr>
      <w:r>
        <w:t xml:space="preserve">The</w:t>
      </w:r>
      <w:r>
        <w:t xml:space="preserve"> </w:t>
      </w:r>
      <w:r>
        <w:t xml:space="preserve">Quotation Estimate</w:t>
      </w:r>
      <w:r>
        <w:t xml:space="preserve"> </w:t>
      </w:r>
      <w:r>
        <w:t xml:space="preserve">does not include costs for third-party laboratory analyses beyond the standard package, government permit fees, or any civil works or construction activities. These will be itemized in a supplementary estimate if required.</w:t>
      </w:r>
    </w:p>
    <w:p>
      <w:pPr>
        <w:numPr>
          <w:ilvl w:val="0"/>
          <w:numId w:val="1001"/>
        </w:numPr>
        <w:pStyle w:val="Compact"/>
      </w:pPr>
      <w:r>
        <w:t xml:space="preserve">All deliverables, including reports, models, and plans prepared by the</w:t>
      </w:r>
      <w:r>
        <w:t xml:space="preserve"> </w:t>
      </w:r>
      <w:r>
        <w:t xml:space="preserve">Environmental Engineer</w:t>
      </w:r>
      <w:r>
        <w:t xml:space="preserve">, shall become the property of the client upon full payment. The service provider retains the right to reference the project in its portfolio with client consent.</w:t>
      </w:r>
    </w:p>
    <w:p>
      <w:pPr>
        <w:numPr>
          <w:ilvl w:val="0"/>
          <w:numId w:val="1001"/>
        </w:numPr>
        <w:pStyle w:val="Compact"/>
      </w:pPr>
      <w:r>
        <w:t xml:space="preserve">Force majeure events, including but not limited to natural disasters affecting the</w:t>
      </w:r>
      <w:r>
        <w:t xml:space="preserve"> </w:t>
      </w:r>
      <w:r>
        <w:t xml:space="preserve">Kazakhstan Almaty</w:t>
      </w:r>
      <w:r>
        <w:t xml:space="preserve"> </w:t>
      </w:r>
      <w:r>
        <w:t xml:space="preserve">region, shall extend project timelines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Almaty, Kazakhstan, in accordance with the rules of the Arbitration Center of the Chamber of Commerce and Industry of Kazakhstan.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Environmental Engineer</w:t>
      </w:r>
      <w:r>
        <w:t xml:space="preserve"> </w:t>
      </w:r>
      <w:r>
        <w:t xml:space="preserve">services in</w:t>
      </w:r>
      <w:r>
        <w:t xml:space="preserve"> </w:t>
      </w:r>
      <w:r>
        <w:t xml:space="preserve">Kazakhstan Almaty</w:t>
      </w:r>
      <w:r>
        <w:t xml:space="preserve">. This signature authorizes the service provider to proceed with project mobilization upon receipt of the initial payment installment.</w:t>
      </w:r>
    </w:p>
    <w:p>
      <w:pPr>
        <w:pStyle w:val="BodyText"/>
      </w:pPr>
      <w:r>
        <w:rPr>
          <w:bCs/>
          <w:b/>
        </w:rPr>
        <w:t xml:space="preserve">For the Service Provider</w:t>
      </w:r>
      <w:r>
        <w:br/>
      </w:r>
      <w:r>
        <w:t xml:space="preserve">EcoEngineering Central Asia LLP</w:t>
      </w:r>
      <w:r>
        <w:br/>
      </w:r>
      <w:r>
        <w:t xml:space="preserve">Name: _________________________</w:t>
      </w:r>
      <w:r>
        <w:br/>
      </w:r>
      <w:r>
        <w:t xml:space="preserve">Title: Chief Environmental Engineer</w:t>
      </w:r>
      <w:r>
        <w:br/>
      </w:r>
      <w:r>
        <w:t xml:space="preserve">Date: _________________________</w:t>
      </w:r>
    </w:p>
    <w:p>
      <w:pPr>
        <w:pStyle w:val="BodyText"/>
      </w:pPr>
      <w:r>
        <w:rPr>
          <w:bCs/>
          <w:b/>
        </w:rPr>
        <w:t xml:space="preserve">For the Client</w:t>
      </w:r>
      <w:r>
        <w:br/>
      </w:r>
      <w:r>
        <w:t xml:space="preserve">[Client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exclusively for the named client and is not transferable. © 2025 EcoEngineering Central Asia LLP, Almaty, Kazakhstan. All rights reserved.</w:t>
      </w:r>
    </w:p>
    <w:p>
      <w:pPr>
        <w:pStyle w:val="BodyText"/>
      </w:pPr>
      <w:r>
        <w:t xml:space="preserve">Page 1 of 1 | Document QE-ENV-2025-ALM-0047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Kazakhstan Almaty</dc:title>
  <dc:creator/>
  <dc:language>en</dc:language>
  <cp:keywords/>
  <dcterms:created xsi:type="dcterms:W3CDTF">2026-10-10T02:32:30Z</dcterms:created>
  <dcterms:modified xsi:type="dcterms:W3CDTF">2026-10-10T02:32:30Z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