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Serving Projects Across</w:t>
      </w:r>
      <w:r>
        <w:t xml:space="preserve"> </w:t>
      </w:r>
      <w:r>
        <w:rPr>
          <w:bCs/>
          <w:b/>
        </w:rPr>
        <w:t xml:space="preserve">Malaysia Kuala Lumpur</w:t>
      </w:r>
      <w:r>
        <w:t xml:space="preserve"> </w:t>
      </w:r>
      <w:r>
        <w:t xml:space="preserve">and Surrounding Regions</w:t>
      </w:r>
    </w:p>
    <w:bookmarkEnd w:id="20"/>
    <w:p>
      <w:pPr>
        <w:pStyle w:val="BodyText"/>
      </w:pPr>
      <w:r>
        <w:rPr>
          <w:bCs/>
          <w:b/>
        </w:rPr>
        <w:t xml:space="preserve">GreenScape Environmental Consultants Sdn. Bhd.</w:t>
      </w:r>
      <w:r>
        <w:br/>
      </w:r>
      <w:r>
        <w:t xml:space="preserve">Level 12, Menara EcoWorld, Jalan P. Ramlee</w:t>
      </w:r>
      <w:r>
        <w:br/>
      </w:r>
      <w:r>
        <w:t xml:space="preserve">50250</w:t>
      </w:r>
      <w:r>
        <w:t xml:space="preserve"> </w:t>
      </w:r>
      <w:r>
        <w:rPr>
          <w:bCs/>
          <w:b/>
        </w:rPr>
        <w:t xml:space="preserve">Malaysia Kuala Lumpur</w:t>
      </w:r>
      <w:r>
        <w:br/>
      </w:r>
      <w:r>
        <w:t xml:space="preserve">Tel: +603-2181 4567 | Email: enquiries@greenscape-env.com.my</w:t>
      </w:r>
      <w:r>
        <w:br/>
      </w:r>
      <w:r>
        <w:t xml:space="preserve">Reg. No: 201901045678 (K)</w:t>
      </w:r>
    </w:p>
    <w:p>
      <w:pPr>
        <w:pStyle w:val="BodyText"/>
      </w:pPr>
      <w:r>
        <w:rPr>
          <w:bCs/>
          <w:b/>
        </w:rPr>
        <w:t xml:space="preserve">Prepared For:</w:t>
      </w:r>
      <w:r>
        <w:br/>
      </w:r>
      <w:r>
        <w:t xml:space="preserve">[Client Company Name]</w:t>
      </w:r>
      <w:r>
        <w:br/>
      </w:r>
      <w:r>
        <w:t xml:space="preserve">[Client Address]</w:t>
      </w:r>
      <w:r>
        <w:br/>
      </w:r>
      <w:r>
        <w:rPr>
          <w:bCs/>
          <w:b/>
        </w:rPr>
        <w:t xml:space="preserve">Malaysia Kuala Lumpur</w:t>
      </w:r>
      <w:r>
        <w:br/>
      </w:r>
      <w:r>
        <w:t xml:space="preserve">Attn: [Client Contact Person]</w:t>
      </w:r>
    </w:p>
    <w:p>
      <w:pPr>
        <w:pStyle w:val="BodyText"/>
      </w:pPr>
      <w:r>
        <w:rPr>
          <w:bCs/>
          <w:b/>
        </w:rPr>
        <w:t xml:space="preserve">Quotation Estimate No.:</w:t>
      </w:r>
      <w:r>
        <w:t xml:space="preserve"> </w:t>
      </w:r>
      <w:r>
        <w:t xml:space="preserve">QE-2025-KL-00847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Project Reference:</w:t>
      </w:r>
      <w:r>
        <w:t xml:space="preserve"> </w:t>
      </w:r>
      <w:r>
        <w:t xml:space="preserve">KL-ENV-2025-0312</w:t>
      </w:r>
      <w:r>
        <w:br/>
      </w:r>
      <w:r>
        <w:rPr>
          <w:bCs/>
          <w:b/>
        </w:rPr>
        <w:t xml:space="preserve">Project Location:</w:t>
      </w:r>
      <w:r>
        <w:t xml:space="preserve"> </w:t>
      </w:r>
      <w:r>
        <w:rPr>
          <w:bCs/>
          <w:b/>
        </w:rPr>
        <w:t xml:space="preserve">Malaysia Kuala Lumpur</w:t>
      </w:r>
      <w:r>
        <w:br/>
      </w:r>
      <w:r>
        <w:rPr>
          <w:bCs/>
          <w:b/>
        </w:rPr>
        <w:t xml:space="preserve">Prepared By:</w:t>
      </w:r>
      <w:r>
        <w:t xml:space="preserve"> </w:t>
      </w:r>
      <w:r>
        <w:t xml:space="preserve">Senior</w:t>
      </w:r>
      <w:r>
        <w:t xml:space="preserve"> </w:t>
      </w:r>
      <w:r>
        <w:rPr>
          <w:bCs/>
          <w:b/>
        </w:rPr>
        <w:t xml:space="preserve">Environmental Engineer</w:t>
      </w:r>
    </w:p>
    <w:p>
      <w:pPr>
        <w:pStyle w:val="BodyText"/>
      </w:pPr>
      <w:r>
        <w:t xml:space="preserve">1. Scope of Work – Environmental Engineer Services</w:t>
      </w:r>
    </w:p>
    <w:p>
      <w:pPr>
        <w:pStyle w:val="BodyText"/>
      </w:pPr>
      <w:r>
        <w:t xml:space="preserve">This</w:t>
      </w:r>
      <w:r>
        <w:t xml:space="preserve"> </w:t>
      </w:r>
      <w:r>
        <w:rPr>
          <w:bCs/>
          <w:b/>
        </w:rPr>
        <w:t xml:space="preserve">Quotation Estimate</w:t>
      </w:r>
      <w:r>
        <w:t xml:space="preserve"> </w:t>
      </w:r>
      <w:r>
        <w:t xml:space="preserve">is issued by GreenScape Environmental Consultants Sdn. Bhd. to provide comprehensive professional services rendered by a qualified</w:t>
      </w:r>
      <w:r>
        <w:t xml:space="preserve"> </w:t>
      </w:r>
      <w:r>
        <w:rPr>
          <w:bCs/>
          <w:b/>
        </w:rPr>
        <w:t xml:space="preserve">Environmental Engineer</w:t>
      </w:r>
      <w:r>
        <w:t xml:space="preserve"> </w:t>
      </w:r>
      <w:r>
        <w:t xml:space="preserve">for the development project located in</w:t>
      </w:r>
      <w:r>
        <w:t xml:space="preserve"> </w:t>
      </w:r>
      <w:r>
        <w:rPr>
          <w:bCs/>
          <w:b/>
        </w:rPr>
        <w:t xml:space="preserve">Malaysia Kuala Lumpur</w:t>
      </w:r>
      <w:r>
        <w:t xml:space="preserve">. The scope encompasses all environmental impact assessments, compliance monitoring, and regulatory liaison activities required under the Environmental Quality Act 1974 (Act 174) and guidelines issued by the Department of Environment (DOE) of Malaysia.</w:t>
      </w:r>
    </w:p>
    <w:p>
      <w:pPr>
        <w:pStyle w:val="BodyText"/>
      </w:pPr>
      <w:r>
        <w:t xml:space="preserve">The</w:t>
      </w:r>
      <w:r>
        <w:t xml:space="preserve"> </w:t>
      </w:r>
      <w:r>
        <w:rPr>
          <w:bCs/>
          <w:b/>
        </w:rPr>
        <w:t xml:space="preserve">Environmental Engineer</w:t>
      </w:r>
      <w:r>
        <w:t xml:space="preserve"> </w:t>
      </w:r>
      <w:r>
        <w:t xml:space="preserve">assigned to this project holds a BEng (Environmental Engineering) degree, is a registered member of the Institution of Engineers Malaysia (IEM), and possesses over twelve (12) years of experience in managing environmental compliance for commercial, industrial, and mixed-use developments within the</w:t>
      </w:r>
      <w:r>
        <w:t xml:space="preserve"> </w:t>
      </w:r>
      <w:r>
        <w:rPr>
          <w:bCs/>
          <w:b/>
        </w:rPr>
        <w:t xml:space="preserve">Malaysia Kuala Lumpur</w:t>
      </w:r>
      <w:r>
        <w:t xml:space="preserve"> </w:t>
      </w:r>
      <w:r>
        <w:t xml:space="preserve">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Preparation of Environmental Impact Assessment (EIA) Report for the proposed development in</w:t>
            </w:r>
            <w:r>
              <w:t xml:space="preserve"> </w:t>
            </w:r>
            <w:r>
              <w:rPr>
                <w:bCs/>
                <w:b/>
              </w:rPr>
              <w:t xml:space="preserve">Malaysia Kuala Lumpur</w:t>
            </w:r>
            <w:r>
              <w:t xml:space="preserve">, including baseline studies, impact prediction, and mitigation planning</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Environmental Compliance Monitoring during construction phase (air quality, noise, water discharge, and dust control) conducted by the</w:t>
            </w:r>
            <w:r>
              <w:t xml:space="preserve"> </w:t>
            </w:r>
            <w:r>
              <w:rPr>
                <w:bCs/>
                <w:b/>
              </w:rPr>
              <w:t xml:space="preserve">Environmental Engineer</w:t>
            </w:r>
            <w:r>
              <w:t xml:space="preserve"> </w:t>
            </w:r>
            <w:r>
              <w:t xml:space="preserve">and field team</w:t>
            </w:r>
          </w:p>
        </w:tc>
        <w:tc>
          <w:tcPr/>
          <w:p>
            <w:pPr>
              <w:pStyle w:val="Compact"/>
              <w:jc w:val="left"/>
            </w:pPr>
            <w:r>
              <w:t xml:space="preserve">18 months</w:t>
            </w:r>
          </w:p>
        </w:tc>
        <w:tc>
          <w:tcPr/>
          <w:p>
            <w:pPr>
              <w:pStyle w:val="Compact"/>
              <w:jc w:val="left"/>
            </w:pPr>
            <w:r>
              <w:t xml:space="preserve">4,500.00/mo</w:t>
            </w:r>
          </w:p>
        </w:tc>
        <w:tc>
          <w:tcPr/>
          <w:p>
            <w:pPr>
              <w:pStyle w:val="Compact"/>
              <w:jc w:val="left"/>
            </w:pPr>
            <w:r>
              <w:t xml:space="preserve">81,000.00</w:t>
            </w:r>
          </w:p>
        </w:tc>
      </w:tr>
      <w:tr>
        <w:tc>
          <w:tcPr/>
          <w:p>
            <w:pPr>
              <w:pStyle w:val="Compact"/>
              <w:jc w:val="left"/>
            </w:pPr>
            <w:r>
              <w:t xml:space="preserve">3</w:t>
            </w:r>
          </w:p>
        </w:tc>
        <w:tc>
          <w:tcPr/>
          <w:p>
            <w:pPr>
              <w:pStyle w:val="Compact"/>
              <w:jc w:val="left"/>
            </w:pPr>
            <w:r>
              <w:t xml:space="preserve">Preparation and submission of Environmental Management Plan (EMP) to DOE</w:t>
            </w:r>
            <w:r>
              <w:t xml:space="preserve"> </w:t>
            </w:r>
            <w:r>
              <w:rPr>
                <w:bCs/>
                <w:b/>
              </w:rPr>
              <w:t xml:space="preserve">Malaysia Kuala Lumpur</w:t>
            </w:r>
            <w:r>
              <w:t xml:space="preserve"> </w:t>
            </w:r>
            <w:r>
              <w:t xml:space="preserve">office, including all required appendices and technical drawings</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Regulatory liaison and attendance at DOE review meetings, public hearings, and stakeholder consultations in</w:t>
            </w:r>
            <w:r>
              <w:t xml:space="preserve"> </w:t>
            </w:r>
            <w:r>
              <w:rPr>
                <w:bCs/>
                <w:b/>
              </w:rPr>
              <w:t xml:space="preserve">Malaysia Kuala Lumpur</w:t>
            </w:r>
          </w:p>
        </w:tc>
        <w:tc>
          <w:tcPr/>
          <w:p>
            <w:pPr>
              <w:pStyle w:val="Compact"/>
              <w:jc w:val="left"/>
            </w:pPr>
            <w:r>
              <w:t xml:space="preserve">As required</w:t>
            </w:r>
          </w:p>
        </w:tc>
        <w:tc>
          <w:tcPr/>
          <w:p>
            <w:pPr>
              <w:pStyle w:val="Compact"/>
              <w:jc w:val="left"/>
            </w:pPr>
            <w:r>
              <w:t xml:space="preserve">1,200.00/session</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Waste Management Plan and Solid Waste Audit for the project site, prepared in accordance with the Environmental Quality (Scheduled Wastes) Regulations 2005</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Post-Construction Environmental Audit and Final Compliance Certification by the</w:t>
            </w:r>
            <w:r>
              <w:t xml:space="preserve"> </w:t>
            </w:r>
            <w:r>
              <w:rPr>
                <w:bCs/>
                <w:b/>
              </w:rPr>
              <w:t xml:space="preserve">Environmental Engineer</w:t>
            </w:r>
          </w:p>
        </w:tc>
        <w:tc>
          <w:tcPr/>
          <w:p>
            <w:pPr>
              <w:pStyle w:val="Compact"/>
              <w:jc w:val="left"/>
            </w:pPr>
            <w:r>
              <w:t xml:space="preserve">8 weeks</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Monthly progress reporting and ad-hoc technical advisory services for the duration of the project in</w:t>
            </w:r>
            <w:r>
              <w:t xml:space="preserve"> </w:t>
            </w:r>
            <w:r>
              <w:rPr>
                <w:bCs/>
                <w:b/>
              </w:rPr>
              <w:t xml:space="preserve">Malaysia Kuala Lumpur</w:t>
            </w:r>
          </w:p>
        </w:tc>
        <w:tc>
          <w:tcPr/>
          <w:p>
            <w:pPr>
              <w:pStyle w:val="Compact"/>
              <w:jc w:val="left"/>
            </w:pPr>
            <w:r>
              <w:t xml:space="preserve">24 months</w:t>
            </w:r>
          </w:p>
        </w:tc>
        <w:tc>
          <w:tcPr/>
          <w:p>
            <w:pPr>
              <w:pStyle w:val="Compact"/>
              <w:jc w:val="left"/>
            </w:pPr>
            <w:r>
              <w:t xml:space="preserve">2,800.00/mo</w:t>
            </w:r>
          </w:p>
        </w:tc>
        <w:tc>
          <w:tcPr/>
          <w:p>
            <w:pPr>
              <w:pStyle w:val="Compact"/>
              <w:jc w:val="left"/>
            </w:pPr>
            <w:r>
              <w:t xml:space="preserve">67,200.00</w:t>
            </w:r>
          </w:p>
        </w:tc>
      </w:tr>
      <w:tr>
        <w:tc>
          <w:tcPr/>
          <w:p>
            <w:pPr>
              <w:pStyle w:val="Compact"/>
              <w:jc w:val="left"/>
            </w:pPr>
            <w:r>
              <w:t xml:space="preserve">8</w:t>
            </w:r>
          </w:p>
        </w:tc>
        <w:tc>
          <w:tcPr/>
          <w:p>
            <w:pPr>
              <w:pStyle w:val="Compact"/>
              <w:jc w:val="left"/>
            </w:pPr>
            <w:r>
              <w:t xml:space="preserve">Travel, field sampling, laboratory analysis, and miscellaneous operational costs within the</w:t>
            </w:r>
            <w:r>
              <w:t xml:space="preserve"> </w:t>
            </w:r>
            <w:r>
              <w:rPr>
                <w:bCs/>
                <w:b/>
              </w:rPr>
              <w:t xml:space="preserve">Malaysia Kuala Lumpur</w:t>
            </w:r>
            <w:r>
              <w:t xml:space="preserve"> </w:t>
            </w:r>
            <w:r>
              <w:t xml:space="preserve">region</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12,000.00</w:t>
            </w:r>
          </w:p>
        </w:tc>
      </w:tr>
      <w:tr>
        <w:tc>
          <w:tcPr>
            <w:gridSpan w:val="4"/>
          </w:tcPr>
          <w:p>
            <w:pPr>
              <w:pStyle w:val="Compact"/>
              <w:jc w:val="right"/>
            </w:pPr>
            <w:r>
              <w:t xml:space="preserve">Subtotal (RM)</w:t>
            </w:r>
          </w:p>
        </w:tc>
        <w:tc>
          <w:tcPr/>
          <w:p>
            <w:pPr>
              <w:pStyle w:val="Compact"/>
              <w:jc w:val="left"/>
            </w:pPr>
            <w:r>
              <w:t xml:space="preserve">345,100.00</w:t>
            </w:r>
          </w:p>
        </w:tc>
      </w:tr>
      <w:tr>
        <w:tc>
          <w:tcPr>
            <w:gridSpan w:val="4"/>
          </w:tcPr>
          <w:p>
            <w:pPr>
              <w:pStyle w:val="Compact"/>
              <w:jc w:val="right"/>
            </w:pPr>
            <w:r>
              <w:t xml:space="preserve">Sales and Service Tax (SST) @ 8%</w:t>
            </w:r>
          </w:p>
        </w:tc>
        <w:tc>
          <w:tcPr/>
          <w:p>
            <w:pPr>
              <w:pStyle w:val="Compact"/>
              <w:jc w:val="left"/>
            </w:pPr>
            <w:r>
              <w:t xml:space="preserve">27,608.00</w:t>
            </w:r>
          </w:p>
        </w:tc>
      </w:tr>
      <w:tr>
        <w:tc>
          <w:tcPr>
            <w:gridSpan w:val="4"/>
          </w:tcPr>
          <w:p>
            <w:pPr>
              <w:pStyle w:val="Compact"/>
              <w:jc w:val="right"/>
            </w:pPr>
            <w:r>
              <w:t xml:space="preserve">TOTAL AMOUNT DUE (RM)</w:t>
            </w:r>
          </w:p>
        </w:tc>
        <w:tc>
          <w:tcPr/>
          <w:p>
            <w:pPr>
              <w:pStyle w:val="Compact"/>
              <w:jc w:val="left"/>
            </w:pPr>
            <w:r>
              <w:t xml:space="preserve">372,708.00</w:t>
            </w:r>
          </w:p>
        </w:tc>
      </w:tr>
    </w:tbl>
    <w:p>
      <w:pPr>
        <w:pStyle w:val="BodyText"/>
      </w:pPr>
      <w:r>
        <w:rPr>
          <w:bCs/>
          <w:b/>
        </w:rPr>
        <w:t xml:space="preserve">Note:</w:t>
      </w:r>
      <w:r>
        <w:t xml:space="preserve"> </w:t>
      </w:r>
      <w:r>
        <w:t xml:space="preserve">This</w:t>
      </w:r>
      <w:r>
        <w:t xml:space="preserve"> </w:t>
      </w:r>
      <w:r>
        <w:rPr>
          <w:bCs/>
          <w:b/>
        </w:rPr>
        <w:t xml:space="preserve">Quotation Estimate</w:t>
      </w:r>
      <w:r>
        <w:t xml:space="preserve"> </w:t>
      </w:r>
      <w:r>
        <w:t xml:space="preserve">is based on the project specifications and site conditions as communicated by the client as of the date of issue. Any significant changes in scope, site conditions, or regulatory requirements in</w:t>
      </w:r>
      <w:r>
        <w:t xml:space="preserve"> </w:t>
      </w:r>
      <w:r>
        <w:rPr>
          <w:bCs/>
          <w:b/>
        </w:rPr>
        <w:t xml:space="preserve">Malaysia Kuala Lumpur</w:t>
      </w:r>
      <w:r>
        <w:t xml:space="preserve"> </w:t>
      </w:r>
      <w:r>
        <w:t xml:space="preserve">may necessitate a revised</w:t>
      </w:r>
      <w:r>
        <w:t xml:space="preserve"> </w:t>
      </w:r>
      <w:r>
        <w:rPr>
          <w:bCs/>
          <w:b/>
        </w:rPr>
        <w:t xml:space="preserve">Quotation Estimate</w:t>
      </w:r>
      <w:r>
        <w:t xml:space="preserve">. All rates are exclusive of any additional government levies or permit fees imposed by the DOE or local authorities.</w:t>
      </w:r>
    </w:p>
    <w:p>
      <w:pPr>
        <w:pStyle w:val="BodyText"/>
      </w:pPr>
      <w:r>
        <w:t xml:space="preserve">3. Payment Terms</w:t>
      </w:r>
    </w:p>
    <w:p>
      <w:pPr>
        <w:pStyle w:val="BodyText"/>
      </w:pPr>
      <w:r>
        <w:t xml:space="preserve">Payment shall be made in accordance with the following schedule, as outlined in this</w:t>
      </w:r>
      <w:r>
        <w:t xml:space="preserve"> </w:t>
      </w:r>
      <w:r>
        <w:rPr>
          <w:bCs/>
          <w:b/>
        </w:rPr>
        <w:t xml:space="preserve">Quotation Estimate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(RM)</w:t>
            </w:r>
          </w:p>
        </w:tc>
      </w:tr>
      <w:tr>
        <w:tc>
          <w:tcPr/>
          <w:p>
            <w:pPr>
              <w:pStyle w:val="Compact"/>
              <w:jc w:val="left"/>
            </w:pPr>
            <w:r>
              <w:t xml:space="preserve">Upon acceptance of this Quotation Estimate and execution of the Service Agreement</w:t>
            </w:r>
          </w:p>
        </w:tc>
        <w:tc>
          <w:tcPr/>
          <w:p>
            <w:pPr>
              <w:pStyle w:val="Compact"/>
              <w:jc w:val="left"/>
            </w:pPr>
            <w:r>
              <w:t xml:space="preserve">20%</w:t>
            </w:r>
          </w:p>
        </w:tc>
        <w:tc>
          <w:tcPr/>
          <w:p>
            <w:pPr>
              <w:pStyle w:val="Compact"/>
              <w:jc w:val="left"/>
            </w:pPr>
            <w:r>
              <w:t xml:space="preserve">74,541.60</w:t>
            </w:r>
          </w:p>
        </w:tc>
      </w:tr>
      <w:tr>
        <w:tc>
          <w:tcPr/>
          <w:p>
            <w:pPr>
              <w:pStyle w:val="Compact"/>
              <w:jc w:val="left"/>
            </w:pPr>
            <w:r>
              <w:t xml:space="preserve">Submission of EIA Report for DOE review</w:t>
            </w:r>
          </w:p>
        </w:tc>
        <w:tc>
          <w:tcPr/>
          <w:p>
            <w:pPr>
              <w:pStyle w:val="Compact"/>
              <w:jc w:val="left"/>
            </w:pPr>
            <w:r>
              <w:t xml:space="preserve">25%</w:t>
            </w:r>
          </w:p>
        </w:tc>
        <w:tc>
          <w:tcPr/>
          <w:p>
            <w:pPr>
              <w:pStyle w:val="Compact"/>
              <w:jc w:val="left"/>
            </w:pPr>
            <w:r>
              <w:t xml:space="preserve">93,177.00</w:t>
            </w:r>
          </w:p>
        </w:tc>
      </w:tr>
      <w:tr>
        <w:tc>
          <w:tcPr/>
          <w:p>
            <w:pPr>
              <w:pStyle w:val="Compact"/>
              <w:jc w:val="left"/>
            </w:pPr>
            <w:r>
              <w:t xml:space="preserve">Completion of construction-phase monitoring (monthly installments)</w:t>
            </w:r>
          </w:p>
        </w:tc>
        <w:tc>
          <w:tcPr/>
          <w:p>
            <w:pPr>
              <w:pStyle w:val="Compact"/>
              <w:jc w:val="left"/>
            </w:pPr>
            <w:r>
              <w:t xml:space="preserve">35%</w:t>
            </w:r>
          </w:p>
        </w:tc>
        <w:tc>
          <w:tcPr/>
          <w:p>
            <w:pPr>
              <w:pStyle w:val="Compact"/>
              <w:jc w:val="left"/>
            </w:pPr>
            <w:r>
              <w:t xml:space="preserve">130,447.80</w:t>
            </w:r>
          </w:p>
        </w:tc>
      </w:tr>
      <w:tr>
        <w:tc>
          <w:tcPr/>
          <w:p>
            <w:pPr>
              <w:pStyle w:val="Compact"/>
              <w:jc w:val="left"/>
            </w:pPr>
            <w:r>
              <w:t xml:space="preserve">Final Environmental Audit and project handover</w:t>
            </w:r>
          </w:p>
        </w:tc>
        <w:tc>
          <w:tcPr/>
          <w:p>
            <w:pPr>
              <w:pStyle w:val="Compact"/>
              <w:jc w:val="left"/>
            </w:pPr>
            <w:r>
              <w:t xml:space="preserve">20%</w:t>
            </w:r>
          </w:p>
        </w:tc>
        <w:tc>
          <w:tcPr/>
          <w:p>
            <w:pPr>
              <w:pStyle w:val="Compact"/>
              <w:jc w:val="left"/>
            </w:pPr>
            <w:r>
              <w:t xml:space="preserve">74,541.60</w:t>
            </w:r>
          </w:p>
        </w:tc>
      </w:tr>
    </w:tbl>
    <w:p>
      <w:pPr>
        <w:pStyle w:val="BodyText"/>
      </w:pPr>
      <w:r>
        <w:t xml:space="preserve">All payments are due within fourteen (14) calendar days from the date of invoice. Late payments shall attract interest at the rate of 2% per month or the maximum rate permitted under Malaysian law, whichever is lower.</w:t>
      </w:r>
    </w:p>
    <w:p>
      <w:pPr>
        <w:pStyle w:val="BodyText"/>
      </w:pPr>
      <w:r>
        <w:t xml:space="preserve">4.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days from the date of issue. Beyond this period, rates and availability of the</w:t>
      </w:r>
      <w:r>
        <w:t xml:space="preserve"> </w:t>
      </w:r>
      <w:r>
        <w:rPr>
          <w:bCs/>
          <w:b/>
        </w:rPr>
        <w:t xml:space="preserve">Environmental Engineer</w:t>
      </w:r>
      <w:r>
        <w:t xml:space="preserve"> </w:t>
      </w:r>
      <w:r>
        <w:t xml:space="preserve">team are subject to review.</w:t>
      </w:r>
    </w:p>
    <w:p>
      <w:pPr>
        <w:numPr>
          <w:ilvl w:val="0"/>
          <w:numId w:val="1001"/>
        </w:numPr>
        <w:pStyle w:val="Compact"/>
      </w:pPr>
      <w:r>
        <w:t xml:space="preserve">All services shall be performed in strict compliance with the Environmental Quality Act 1974, the Environmental Quality Regulations, and all applicable local by-laws of the Kuala Lumpur City Hall (DBKL) in</w:t>
      </w:r>
      <w:r>
        <w:t xml:space="preserve"> </w:t>
      </w:r>
      <w:r>
        <w:rPr>
          <w:bCs/>
          <w:b/>
        </w:rPr>
        <w:t xml:space="preserve">Malaysia Kuala Lumpur</w:t>
      </w:r>
      <w:r>
        <w:t xml:space="preserve">.</w:t>
      </w:r>
    </w:p>
    <w:p>
      <w:pPr>
        <w:numPr>
          <w:ilvl w:val="0"/>
          <w:numId w:val="1001"/>
        </w:numPr>
        <w:pStyle w:val="Compact"/>
      </w:pPr>
      <w:r>
        <w:t xml:space="preserve">The</w:t>
      </w:r>
      <w:r>
        <w:t xml:space="preserve"> </w:t>
      </w:r>
      <w:r>
        <w:rPr>
          <w:bCs/>
          <w:b/>
        </w:rPr>
        <w:t xml:space="preserve">Environmental Engineer</w:t>
      </w:r>
      <w:r>
        <w:t xml:space="preserve"> </w:t>
      </w:r>
      <w:r>
        <w:t xml:space="preserve">and supporting team shall maintain full professional indemnity insurance coverage of not less than RM 5,000,000 for the duration of the engagement.</w:t>
      </w:r>
    </w:p>
    <w:p>
      <w:pPr>
        <w:numPr>
          <w:ilvl w:val="0"/>
          <w:numId w:val="1001"/>
        </w:numPr>
        <w:pStyle w:val="Compact"/>
      </w:pPr>
      <w:r>
        <w:t xml:space="preserve">The client shall provide timely access to the project site in</w:t>
      </w:r>
      <w:r>
        <w:t xml:space="preserve"> </w:t>
      </w:r>
      <w:r>
        <w:rPr>
          <w:bCs/>
          <w:b/>
        </w:rPr>
        <w:t xml:space="preserve">Malaysia Kuala Lumpur</w:t>
      </w:r>
      <w:r>
        <w:t xml:space="preserve">, all relevant planning documents, and cooperation with regulatory authorities to enable the</w:t>
      </w:r>
      <w:r>
        <w:t xml:space="preserve"> </w:t>
      </w:r>
      <w:r>
        <w:rPr>
          <w:bCs/>
          <w:b/>
        </w:rPr>
        <w:t xml:space="preserve">Environmental Engineer</w:t>
      </w:r>
      <w:r>
        <w:t xml:space="preserve"> </w:t>
      </w:r>
      <w:r>
        <w:t xml:space="preserve">to perform duties without undue delay.</w:t>
      </w:r>
    </w:p>
    <w:p>
      <w:pPr>
        <w:numPr>
          <w:ilvl w:val="0"/>
          <w:numId w:val="1001"/>
        </w:numPr>
        <w:pStyle w:val="Compact"/>
      </w:pPr>
      <w:r>
        <w:t xml:space="preserve">Confidentiality: All data, reports, and findings generated under this</w:t>
      </w:r>
      <w:r>
        <w:t xml:space="preserve"> </w:t>
      </w:r>
      <w:r>
        <w:rPr>
          <w:bCs/>
          <w:b/>
        </w:rPr>
        <w:t xml:space="preserve">Quotation Estimate</w:t>
      </w:r>
      <w:r>
        <w:t xml:space="preserve"> </w:t>
      </w:r>
      <w:r>
        <w:t xml:space="preserve">engagement shall be treated as confidential and shall not be disclosed to third parties without written consent from the client.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restrictions, or public health emergencies affecting</w:t>
      </w:r>
      <w:r>
        <w:t xml:space="preserve"> </w:t>
      </w:r>
      <w:r>
        <w:rPr>
          <w:bCs/>
          <w:b/>
        </w:rPr>
        <w:t xml:space="preserve">Malaysia Kuala Lumpur</w:t>
      </w:r>
      <w:r>
        <w:t xml:space="preserve">.</w:t>
      </w:r>
    </w:p>
    <w:p>
      <w:pPr>
        <w:numPr>
          <w:ilvl w:val="0"/>
          <w:numId w:val="1001"/>
        </w:numPr>
        <w:pStyle w:val="Compact"/>
      </w:pPr>
      <w:r>
        <w:t xml:space="preserve">Dispute Resolution: Any disputes arising from this</w:t>
      </w:r>
      <w:r>
        <w:t xml:space="preserve"> </w:t>
      </w:r>
      <w:r>
        <w:rPr>
          <w:bCs/>
          <w:b/>
        </w:rPr>
        <w:t xml:space="preserve">Quotation Estimate</w:t>
      </w:r>
      <w:r>
        <w:t xml:space="preserve"> </w:t>
      </w:r>
      <w:r>
        <w:t xml:space="preserve">shall be resolved through mediation in</w:t>
      </w:r>
      <w:r>
        <w:t xml:space="preserve"> </w:t>
      </w:r>
      <w:r>
        <w:rPr>
          <w:bCs/>
          <w:b/>
        </w:rPr>
        <w:t xml:space="preserve">Malaysia Kuala Lumpur</w:t>
      </w:r>
      <w:r>
        <w:t xml:space="preserve"> </w:t>
      </w:r>
      <w:r>
        <w:t xml:space="preserve">in accordance with the rules of the Asian International Arbitration Centre (AIAC). Failing mediation, disputes shall be subject to the exclusive jurisdiction of the courts of Malaysia.</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a formal Service Agreement is executed by both parties.</w:t>
      </w:r>
    </w:p>
    <w:p>
      <w:pPr>
        <w:pStyle w:val="FirstParagraph"/>
      </w:pPr>
      <w:r>
        <w:t xml:space="preserve">5. Acceptance and Authorization</w:t>
      </w:r>
    </w:p>
    <w:p>
      <w:pPr>
        <w:pStyle w:val="BodyText"/>
      </w:pPr>
      <w:r>
        <w:t xml:space="preserve">By signing below, the client acknowledges and accepts the terms, conditions, and pricing set forth in this</w:t>
      </w:r>
      <w:r>
        <w:t xml:space="preserve"> </w:t>
      </w:r>
      <w:r>
        <w:rPr>
          <w:bCs/>
          <w:b/>
        </w:rPr>
        <w:t xml:space="preserve">Quotation Estimate</w:t>
      </w:r>
      <w:r>
        <w:t xml:space="preserve"> </w:t>
      </w:r>
      <w:r>
        <w:t xml:space="preserve">for the engagement of the</w:t>
      </w:r>
      <w:r>
        <w:t xml:space="preserve"> </w:t>
      </w:r>
      <w:r>
        <w:rPr>
          <w:bCs/>
          <w:b/>
        </w:rPr>
        <w:t xml:space="preserve">Environmental Engineer</w:t>
      </w:r>
      <w:r>
        <w:t xml:space="preserve"> </w:t>
      </w:r>
      <w:r>
        <w:t xml:space="preserve">and associated services in</w:t>
      </w:r>
      <w:r>
        <w:t xml:space="preserve"> </w:t>
      </w:r>
      <w:r>
        <w:rPr>
          <w:bCs/>
          <w:b/>
        </w:rPr>
        <w:t xml:space="preserve">Malaysia Kuala Lumpur</w:t>
      </w:r>
      <w:r>
        <w:t xml:space="preserve">.</w:t>
      </w:r>
    </w:p>
    <w:p>
      <w:pPr>
        <w:pStyle w:val="BodyText"/>
      </w:pPr>
      <w:r>
        <w:rPr>
          <w:bCs/>
          <w:b/>
        </w:rPr>
        <w:t xml:space="preserve">For and on behalf of GreenScape Environmental Consultants Sdn. Bhd.</w:t>
      </w:r>
      <w:r>
        <w:br/>
      </w:r>
      <w:r>
        <w:t xml:space="preserve">Name: ___________________________</w:t>
      </w:r>
      <w:r>
        <w:br/>
      </w:r>
      <w:r>
        <w:t xml:space="preserve">Designation: Senior</w:t>
      </w:r>
      <w:r>
        <w:t xml:space="preserve"> </w:t>
      </w:r>
      <w:r>
        <w:rPr>
          <w:bCs/>
          <w:b/>
        </w:rPr>
        <w:t xml:space="preserve">Environmental Engineer</w:t>
      </w:r>
      <w:r>
        <w:t xml:space="preserve"> </w:t>
      </w:r>
      <w:r>
        <w:t xml:space="preserve">/ Managing Director</w:t>
      </w:r>
      <w:r>
        <w:br/>
      </w:r>
      <w:r>
        <w:t xml:space="preserve">Date: ___________________________</w:t>
      </w:r>
    </w:p>
    <w:p>
      <w:pPr>
        <w:pStyle w:val="BodyText"/>
      </w:pPr>
      <w:r>
        <w:rPr>
          <w:bCs/>
          <w:b/>
        </w:rPr>
        <w:t xml:space="preserve">For and on behalf of [Client Company Name]</w:t>
      </w:r>
      <w:r>
        <w:br/>
      </w:r>
      <w:r>
        <w:t xml:space="preserve">Name: ___________________________</w:t>
      </w:r>
      <w:r>
        <w:br/>
      </w:r>
      <w:r>
        <w:t xml:space="preserve">Designation: ___________________________</w:t>
      </w:r>
      <w:r>
        <w:br/>
      </w:r>
      <w:r>
        <w:t xml:space="preserve">Date: ___________________________</w:t>
      </w:r>
    </w:p>
    <w:p>
      <w:pPr>
        <w:pStyle w:val="BodyText"/>
      </w:pPr>
      <w:r>
        <w:t xml:space="preserve">GreenScape Environmental Consultants Sdn. Bhd. | Level 12, Menara EcoWorld, Jalan P. Ramlee, 50250</w:t>
      </w:r>
      <w:r>
        <w:t xml:space="preserve"> </w:t>
      </w:r>
      <w:r>
        <w:rPr>
          <w:bCs/>
          <w:b/>
        </w:rPr>
        <w:t xml:space="preserve">Malaysia Kuala Lumpur</w:t>
      </w:r>
      <w:r>
        <w:t xml:space="preserve">, Malaysia</w:t>
      </w:r>
    </w:p>
    <w:p>
      <w:pPr>
        <w:pStyle w:val="BodyText"/>
      </w:pPr>
      <w:r>
        <w:t xml:space="preserve">This</w:t>
      </w:r>
      <w:r>
        <w:t xml:space="preserve"> </w:t>
      </w:r>
      <w:r>
        <w:rPr>
          <w:bCs/>
          <w:b/>
        </w:rPr>
        <w:t xml:space="preserve">Quotation Estimate</w:t>
      </w:r>
      <w:r>
        <w:t xml:space="preserve"> </w:t>
      </w:r>
      <w:r>
        <w:t xml:space="preserve">is the property of GreenScape Environmental Consultants Sdn. Bhd. and is issued solely for the purpose of the referenced project. Unauthorized reproduction or distribution is prohibited.</w:t>
      </w:r>
    </w:p>
    <w:p>
      <w:pPr>
        <w:pStyle w:val="BodyText"/>
      </w:pPr>
      <w:r>
        <w:t xml:space="preserve">Document Ref: QE-2025-KL-00847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Malaysia Kuala Lumpur</dc:title>
  <dc:creator/>
  <dc:language>en</dc:language>
  <cp:keywords/>
  <dcterms:created xsi:type="dcterms:W3CDTF">2026-10-10T06:24:20Z</dcterms:created>
  <dcterms:modified xsi:type="dcterms:W3CDTF">2026-10-10T06:24:20Z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