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greenscape-environmental-consulting-inc."/>
    <w:p>
      <w:pPr>
        <w:pStyle w:val="Heading1"/>
      </w:pPr>
      <w:r>
        <w:t xml:space="preserve">GreenScape Environmental Consulting Inc.</w:t>
      </w:r>
    </w:p>
    <w:p>
      <w:pPr>
        <w:pStyle w:val="FirstParagraph"/>
      </w:pPr>
      <w:r>
        <w:t xml:space="preserve">Unit 1204, The Enterprise Tower, 6815 Ayala Avenue</w:t>
      </w:r>
    </w:p>
    <w:p>
      <w:pPr>
        <w:pStyle w:val="BodyText"/>
      </w:pPr>
      <w:r>
        <w:t xml:space="preserve">Makati City,</w:t>
      </w:r>
      <w:r>
        <w:t xml:space="preserve"> </w:t>
      </w:r>
      <w:r>
        <w:t xml:space="preserve">Philippines Manila</w:t>
      </w:r>
      <w:r>
        <w:t xml:space="preserve"> </w:t>
      </w:r>
      <w:r>
        <w:t xml:space="preserve">Metro, 1226</w:t>
      </w:r>
    </w:p>
    <w:p>
      <w:pPr>
        <w:pStyle w:val="BodyText"/>
      </w:pPr>
      <w:r>
        <w:t xml:space="preserve">Tel: +63 (2) 8888-4521 | Email: quotes@greenscape-ph.com</w:t>
      </w:r>
    </w:p>
    <w:p>
      <w:pPr>
        <w:pStyle w:val="BodyText"/>
      </w:pPr>
      <w:r>
        <w:t xml:space="preserve">DTI Reg. No. 201912345678 | PE License No. 104521</w:t>
      </w:r>
    </w:p>
    <w:bookmarkEnd w:id="20"/>
    <w:p>
      <w:pPr>
        <w:pStyle w:val="BodyText"/>
      </w:pPr>
      <w:r>
        <w:t xml:space="preserve">Quotation No.: GSEC-2025-00472</w:t>
      </w:r>
    </w:p>
    <w:p>
      <w:pPr>
        <w:pStyle w:val="BodyText"/>
      </w:pPr>
      <w:r>
        <w:t xml:space="preserve">Date: June 12, 2025</w:t>
      </w:r>
    </w:p>
    <w:p>
      <w:pPr>
        <w:pStyle w:val="BodyText"/>
      </w:pPr>
      <w:r>
        <w:t xml:space="preserve">Valid Until: July 12, 2025</w:t>
      </w:r>
    </w:p>
    <w:bookmarkStart w:id="21" w:name="quotation-estimate"/>
    <w:p>
      <w:pPr>
        <w:pStyle w:val="Heading2"/>
      </w:pPr>
      <w:r>
        <w:t xml:space="preserve">QUOTATION ESTIMATE</w:t>
      </w:r>
    </w:p>
    <w:p>
      <w:pPr>
        <w:pStyle w:val="FirstParagraph"/>
      </w:pPr>
      <w:r>
        <w:t xml:space="preserve">Professional Services of an</w:t>
      </w:r>
      <w:r>
        <w:t xml:space="preserve"> </w:t>
      </w:r>
      <w:r>
        <w:t xml:space="preserve">Environmental Engineer</w:t>
      </w:r>
      <w:r>
        <w:t xml:space="preserve"> </w:t>
      </w:r>
      <w:r>
        <w:t xml:space="preserve">for Project Assessment and Compliance in</w:t>
      </w:r>
      <w:r>
        <w:t xml:space="preserve"> </w:t>
      </w:r>
      <w:r>
        <w:t xml:space="preserve">Philippines Manila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Meridian Development Corporation, 8888 Ortigas Avenue, Pasig City,</w:t>
            </w:r>
            <w:r>
              <w:t xml:space="preserve"> </w:t>
            </w:r>
            <w:r>
              <w:t xml:space="preserve">Philippines Manila</w:t>
            </w:r>
            <w:r>
              <w:t xml:space="preserve"> </w:t>
            </w:r>
            <w:r>
              <w:t xml:space="preserve">Metro</w:t>
            </w:r>
          </w:p>
        </w:tc>
      </w:tr>
      <w:tr>
        <w:tc>
          <w:tcPr/>
          <w:p>
            <w:pPr>
              <w:pStyle w:val="Compact"/>
              <w:jc w:val="left"/>
            </w:pPr>
            <w:r>
              <w:t xml:space="preserve">Project Reference:</w:t>
            </w:r>
          </w:p>
        </w:tc>
        <w:tc>
          <w:tcPr/>
          <w:p>
            <w:pPr>
              <w:pStyle w:val="Compact"/>
              <w:jc w:val="left"/>
            </w:pPr>
            <w:r>
              <w:t xml:space="preserve">MD-2025-Ortigas Commercial Complex – Phase II Environmental Compliance</w:t>
            </w:r>
          </w:p>
        </w:tc>
      </w:tr>
      <w:tr>
        <w:tc>
          <w:tcPr/>
          <w:p>
            <w:pPr>
              <w:pStyle w:val="Compact"/>
              <w:jc w:val="left"/>
            </w:pPr>
            <w:r>
              <w:t xml:space="preserve">Service Category:</w:t>
            </w:r>
          </w:p>
        </w:tc>
        <w:tc>
          <w:tcPr/>
          <w:p>
            <w:pPr>
              <w:pStyle w:val="Compact"/>
              <w:jc w:val="left"/>
            </w:pPr>
            <w:r>
              <w:t xml:space="preserve">Environmental Engineer</w:t>
            </w:r>
            <w:r>
              <w:t xml:space="preserve"> </w:t>
            </w:r>
            <w:r>
              <w:t xml:space="preserve">– Full-Scope Environmental Impact Assessment (EIA) and Regulatory Compliance</w:t>
            </w:r>
          </w:p>
        </w:tc>
      </w:tr>
      <w:tr>
        <w:tc>
          <w:tcPr/>
          <w:p>
            <w:pPr>
              <w:pStyle w:val="Compact"/>
              <w:jc w:val="left"/>
            </w:pPr>
            <w:r>
              <w:t xml:space="preserve">Project Location:</w:t>
            </w:r>
          </w:p>
        </w:tc>
        <w:tc>
          <w:tcPr/>
          <w:p>
            <w:pPr>
              <w:pStyle w:val="Compact"/>
              <w:jc w:val="left"/>
            </w:pPr>
            <w:r>
              <w:t xml:space="preserve">Ortigas Business District, Pasig City,</w:t>
            </w:r>
            <w:r>
              <w:t xml:space="preserve"> </w:t>
            </w:r>
            <w:r>
              <w:t xml:space="preserve">Philippines Manila</w:t>
            </w:r>
            <w:r>
              <w:t xml:space="preserve"> </w:t>
            </w:r>
            <w:r>
              <w:t xml:space="preserve">Metropolitan Area</w:t>
            </w:r>
          </w:p>
        </w:tc>
      </w:tr>
      <w:tr>
        <w:tc>
          <w:tcPr/>
          <w:p>
            <w:pPr>
              <w:pStyle w:val="Compact"/>
              <w:jc w:val="left"/>
            </w:pPr>
            <w:r>
              <w:t xml:space="preserve">Estimated Duration:</w:t>
            </w:r>
          </w:p>
        </w:tc>
        <w:tc>
          <w:tcPr/>
          <w:p>
            <w:pPr>
              <w:pStyle w:val="Compact"/>
              <w:jc w:val="left"/>
            </w:pPr>
            <w:r>
              <w:t xml:space="preserve">120 calendar days from Notice to Proceed</w:t>
            </w:r>
          </w:p>
        </w:tc>
      </w:tr>
    </w:tbl>
    <w:bookmarkStart w:id="22" w:name="Xf295acc3e1de01af9c2931e3414ac008807f668"/>
    <w:p>
      <w:pPr>
        <w:pStyle w:val="Heading3"/>
      </w:pPr>
      <w:r>
        <w:t xml:space="preserve">1. Scope of Work – Environmental Engineer Services</w:t>
      </w:r>
    </w:p>
    <w:p>
      <w:pPr>
        <w:pStyle w:val="FirstParagraph"/>
      </w:pPr>
      <w:r>
        <w:t xml:space="preserve">This</w:t>
      </w:r>
      <w:r>
        <w:t xml:space="preserve"> </w:t>
      </w:r>
      <w:r>
        <w:t xml:space="preserve">Quotation Estimate</w:t>
      </w:r>
      <w:r>
        <w:t xml:space="preserve"> </w:t>
      </w:r>
      <w:r>
        <w:t xml:space="preserve">outlines the comprehensive professional services to be rendered by a licensed</w:t>
      </w:r>
      <w:r>
        <w:t xml:space="preserve"> </w:t>
      </w:r>
      <w:r>
        <w:t xml:space="preserve">Environmental Engineer</w:t>
      </w:r>
      <w:r>
        <w:t xml:space="preserve"> </w:t>
      </w:r>
      <w:r>
        <w:t xml:space="preserve">and a supporting technical team for the Meridian Development Corporation project situated in the</w:t>
      </w:r>
      <w:r>
        <w:t xml:space="preserve"> </w:t>
      </w:r>
      <w:r>
        <w:t xml:space="preserve">Philippines Manila</w:t>
      </w:r>
      <w:r>
        <w:t xml:space="preserve"> </w:t>
      </w:r>
      <w:r>
        <w:t xml:space="preserve">metropolitan area. The scope encompasses all phases of environmental due diligence, regulatory compliance, and sustainability planning required under the Philippine Environmental Impact Statement System (EISS) as administered by the Department of Environment and Natural Resources (DENR) and the National Environmental Management Council (NEMC).</w:t>
      </w:r>
    </w:p>
    <w:p>
      <w:pPr>
        <w:numPr>
          <w:ilvl w:val="0"/>
          <w:numId w:val="1001"/>
        </w:numPr>
        <w:pStyle w:val="Compact"/>
      </w:pPr>
      <w:r>
        <w:rPr>
          <w:bCs/>
          <w:b/>
        </w:rPr>
        <w:t xml:space="preserve">Site Assessment and Baseline Studies:</w:t>
      </w:r>
      <w:r>
        <w:t xml:space="preserve"> </w:t>
      </w:r>
      <w:r>
        <w:t xml:space="preserve">Conduct a thorough environmental baseline survey of the project site in</w:t>
      </w:r>
      <w:r>
        <w:t xml:space="preserve"> </w:t>
      </w:r>
      <w:r>
        <w:t xml:space="preserve">Philippines Manila</w:t>
      </w:r>
      <w:r>
        <w:t xml:space="preserve">, including air quality monitoring (PM2.5, PM10, NOx, SO2), noise level surveys, surface water and groundwater quality sampling, soil contamination screening, and biodiversity inventory of the surrounding area.</w:t>
      </w:r>
    </w:p>
    <w:p>
      <w:pPr>
        <w:numPr>
          <w:ilvl w:val="0"/>
          <w:numId w:val="1001"/>
        </w:numPr>
        <w:pStyle w:val="Compact"/>
      </w:pPr>
      <w:r>
        <w:rPr>
          <w:bCs/>
          <w:b/>
        </w:rPr>
        <w:t xml:space="preserve">Environmental Impact Assessment (EIA) Preparation:</w:t>
      </w:r>
      <w:r>
        <w:t xml:space="preserve"> </w:t>
      </w:r>
      <w:r>
        <w:t xml:space="preserve">The lead</w:t>
      </w:r>
      <w:r>
        <w:t xml:space="preserve"> </w:t>
      </w:r>
      <w:r>
        <w:t xml:space="preserve">Environmental Engineer</w:t>
      </w:r>
      <w:r>
        <w:t xml:space="preserve"> </w:t>
      </w:r>
      <w:r>
        <w:t xml:space="preserve">shall prepare a complete EIA document in compliance with DENR Administrative Order No. 2003-30, including the Environmental Impact Statement (EIS), Environmental Management and Monitoring Plan (EMMP), and all required annexes and technical appendices.</w:t>
      </w:r>
    </w:p>
    <w:p>
      <w:pPr>
        <w:numPr>
          <w:ilvl w:val="0"/>
          <w:numId w:val="1001"/>
        </w:numPr>
        <w:pStyle w:val="Compact"/>
      </w:pPr>
      <w:r>
        <w:rPr>
          <w:bCs/>
          <w:b/>
        </w:rPr>
        <w:t xml:space="preserve">Regulatory Permitting and Liaison:</w:t>
      </w:r>
      <w:r>
        <w:t xml:space="preserve"> </w:t>
      </w:r>
      <w:r>
        <w:t xml:space="preserve">Manage all submissions and coordination with DENR-EMB (Environmental Management Bureau) Region III, the Manila Bay Council, the Local Government Unit of Pasig City, and the National Capital Region (NCR) Pollution Control Board to secure the Certificate of Environmental Compliance (CEC) and related permits.</w:t>
      </w:r>
    </w:p>
    <w:p>
      <w:pPr>
        <w:numPr>
          <w:ilvl w:val="0"/>
          <w:numId w:val="1001"/>
        </w:numPr>
        <w:pStyle w:val="Compact"/>
      </w:pPr>
      <w:r>
        <w:rPr>
          <w:bCs/>
          <w:b/>
        </w:rPr>
        <w:t xml:space="preserve">Waste Management and Pollution Control Design:</w:t>
      </w:r>
      <w:r>
        <w:t xml:space="preserve"> </w:t>
      </w:r>
      <w:r>
        <w:t xml:space="preserve">Design and specify the solid waste management system, wastewater treatment facility, stormwater management infrastructure, and air emission control systems appropriate for a commercial complex in the</w:t>
      </w:r>
      <w:r>
        <w:t xml:space="preserve"> </w:t>
      </w:r>
      <w:r>
        <w:t xml:space="preserve">Philippines Manila</w:t>
      </w:r>
      <w:r>
        <w:t xml:space="preserve"> </w:t>
      </w:r>
      <w:r>
        <w:t xml:space="preserve">urban environment.</w:t>
      </w:r>
    </w:p>
    <w:p>
      <w:pPr>
        <w:numPr>
          <w:ilvl w:val="0"/>
          <w:numId w:val="1001"/>
        </w:numPr>
        <w:pStyle w:val="Compact"/>
      </w:pPr>
      <w:r>
        <w:rPr>
          <w:bCs/>
          <w:b/>
        </w:rPr>
        <w:t xml:space="preserve">Environmental Monitoring Plan:</w:t>
      </w:r>
      <w:r>
        <w:t xml:space="preserve"> </w:t>
      </w:r>
      <w:r>
        <w:t xml:space="preserve">Develop a post-construction environmental monitoring protocol with quarterly reporting schedules for a minimum of two (2) years following project commissioning.</w:t>
      </w:r>
    </w:p>
    <w:p>
      <w:pPr>
        <w:numPr>
          <w:ilvl w:val="0"/>
          <w:numId w:val="1001"/>
        </w:numPr>
        <w:pStyle w:val="Compact"/>
      </w:pPr>
      <w:r>
        <w:rPr>
          <w:bCs/>
          <w:b/>
        </w:rPr>
        <w:t xml:space="preserve">Community Consultation and Public Disclosure:</w:t>
      </w:r>
      <w:r>
        <w:t xml:space="preserve"> </w:t>
      </w:r>
      <w:r>
        <w:t xml:space="preserve">Facilitate public disclosure hearings and community engagement sessions as mandated by the EIA system, ensuring transparent communication with residents and stakeholders in the</w:t>
      </w:r>
      <w:r>
        <w:t xml:space="preserve"> </w:t>
      </w:r>
      <w:r>
        <w:t xml:space="preserve">Philippines Manila</w:t>
      </w:r>
      <w:r>
        <w:t xml:space="preserve"> </w:t>
      </w:r>
      <w:r>
        <w:t xml:space="preserve">community.</w:t>
      </w:r>
    </w:p>
    <w:p>
      <w:pPr>
        <w:numPr>
          <w:ilvl w:val="0"/>
          <w:numId w:val="1001"/>
        </w:numPr>
        <w:pStyle w:val="Compact"/>
      </w:pPr>
      <w:r>
        <w:rPr>
          <w:bCs/>
          <w:b/>
        </w:rPr>
        <w:t xml:space="preserve">Green Building and Sustainability Advisory:</w:t>
      </w:r>
      <w:r>
        <w:t xml:space="preserve"> </w:t>
      </w:r>
      <w:r>
        <w:t xml:space="preserve">Provide advisory services on LEED and Philippine Green Building Council (PGBC) certification pathways, energy efficiency measures, and sustainable design integration for the commercial complex.</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Lead</w:t>
            </w:r>
            <w:r>
              <w:t xml:space="preserve"> </w:t>
            </w:r>
            <w:r>
              <w:t xml:space="preserve">Environmental Engineer</w:t>
            </w:r>
            <w:r>
              <w:t xml:space="preserve"> </w:t>
            </w:r>
            <w:r>
              <w:t xml:space="preserve">– Professional Consultation and Project Management</w:t>
            </w:r>
          </w:p>
        </w:tc>
        <w:tc>
          <w:tcPr/>
          <w:p>
            <w:pPr>
              <w:pStyle w:val="Compact"/>
              <w:jc w:val="left"/>
            </w:pPr>
            <w:r>
              <w:t xml:space="preserve">120 days</w:t>
            </w:r>
          </w:p>
        </w:tc>
        <w:tc>
          <w:tcPr/>
          <w:p>
            <w:pPr>
              <w:pStyle w:val="Compact"/>
              <w:jc w:val="left"/>
            </w:pPr>
            <w:r>
              <w:t xml:space="preserve">₱18,500/day</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Environmental Baseline Studies (Air, Water, Soil, Noise, Biodiversity)</w:t>
            </w:r>
          </w:p>
        </w:tc>
        <w:tc>
          <w:tcPr/>
          <w:p>
            <w:pPr>
              <w:pStyle w:val="Compact"/>
              <w:jc w:val="left"/>
            </w:pPr>
            <w:r>
              <w:t xml:space="preserve">30 days</w:t>
            </w:r>
          </w:p>
        </w:tc>
        <w:tc>
          <w:tcPr/>
          <w:p>
            <w:pPr>
              <w:pStyle w:val="Compact"/>
              <w:jc w:val="left"/>
            </w:pPr>
            <w:r>
              <w:t xml:space="preserve">Flat Rate</w:t>
            </w:r>
          </w:p>
        </w:tc>
        <w:tc>
          <w:tcPr/>
          <w:p>
            <w:pPr>
              <w:pStyle w:val="Compact"/>
              <w:jc w:val="left"/>
            </w:pPr>
            <w:r>
              <w:t xml:space="preserve">₱875,000.00</w:t>
            </w:r>
          </w:p>
        </w:tc>
      </w:tr>
      <w:tr>
        <w:tc>
          <w:tcPr/>
          <w:p>
            <w:pPr>
              <w:pStyle w:val="Compact"/>
              <w:jc w:val="left"/>
            </w:pPr>
            <w:r>
              <w:t xml:space="preserve">3</w:t>
            </w:r>
          </w:p>
        </w:tc>
        <w:tc>
          <w:tcPr/>
          <w:p>
            <w:pPr>
              <w:pStyle w:val="Compact"/>
              <w:jc w:val="left"/>
            </w:pPr>
            <w:r>
              <w:t xml:space="preserve">EIA / EIS Document Preparation and Technical Writing</w:t>
            </w:r>
          </w:p>
        </w:tc>
        <w:tc>
          <w:tcPr/>
          <w:p>
            <w:pPr>
              <w:pStyle w:val="Compact"/>
              <w:jc w:val="left"/>
            </w:pPr>
            <w:r>
              <w:t xml:space="preserve">45 days</w:t>
            </w:r>
          </w:p>
        </w:tc>
        <w:tc>
          <w:tcPr/>
          <w:p>
            <w:pPr>
              <w:pStyle w:val="Compact"/>
              <w:jc w:val="left"/>
            </w:pPr>
            <w:r>
              <w:t xml:space="preserve">Flat Rate</w:t>
            </w:r>
          </w:p>
        </w:tc>
        <w:tc>
          <w:tcPr/>
          <w:p>
            <w:pPr>
              <w:pStyle w:val="Compact"/>
              <w:jc w:val="left"/>
            </w:pPr>
            <w:r>
              <w:t xml:space="preserve">₱1,250,000.00</w:t>
            </w:r>
          </w:p>
        </w:tc>
      </w:tr>
      <w:tr>
        <w:tc>
          <w:tcPr/>
          <w:p>
            <w:pPr>
              <w:pStyle w:val="Compact"/>
              <w:jc w:val="left"/>
            </w:pPr>
            <w:r>
              <w:t xml:space="preserve">4</w:t>
            </w:r>
          </w:p>
        </w:tc>
        <w:tc>
          <w:tcPr/>
          <w:p>
            <w:pPr>
              <w:pStyle w:val="Compact"/>
              <w:jc w:val="left"/>
            </w:pPr>
            <w:r>
              <w:t xml:space="preserve">Regulatory Permitting, DENR-EMB Liaison, and CEC Processing</w:t>
            </w:r>
          </w:p>
        </w:tc>
        <w:tc>
          <w:tcPr/>
          <w:p>
            <w:pPr>
              <w:pStyle w:val="Compact"/>
              <w:jc w:val="left"/>
            </w:pPr>
            <w:r>
              <w:t xml:space="preserve">30 days</w:t>
            </w:r>
          </w:p>
        </w:tc>
        <w:tc>
          <w:tcPr/>
          <w:p>
            <w:pPr>
              <w:pStyle w:val="Compact"/>
              <w:jc w:val="left"/>
            </w:pPr>
            <w:r>
              <w:t xml:space="preserve">Flat Rate</w:t>
            </w:r>
          </w:p>
        </w:tc>
        <w:tc>
          <w:tcPr/>
          <w:p>
            <w:pPr>
              <w:pStyle w:val="Compact"/>
              <w:jc w:val="left"/>
            </w:pPr>
            <w:r>
              <w:t xml:space="preserve">₱450,000.00</w:t>
            </w:r>
          </w:p>
        </w:tc>
      </w:tr>
      <w:tr>
        <w:tc>
          <w:tcPr/>
          <w:p>
            <w:pPr>
              <w:pStyle w:val="Compact"/>
              <w:jc w:val="left"/>
            </w:pPr>
            <w:r>
              <w:t xml:space="preserve">5</w:t>
            </w:r>
          </w:p>
        </w:tc>
        <w:tc>
          <w:tcPr/>
          <w:p>
            <w:pPr>
              <w:pStyle w:val="Compact"/>
              <w:jc w:val="left"/>
            </w:pPr>
            <w:r>
              <w:t xml:space="preserve">Waste Management and Pollution Control System Design</w:t>
            </w:r>
          </w:p>
        </w:tc>
        <w:tc>
          <w:tcPr/>
          <w:p>
            <w:pPr>
              <w:pStyle w:val="Compact"/>
              <w:jc w:val="left"/>
            </w:pPr>
            <w:r>
              <w:t xml:space="preserve">25 days</w:t>
            </w:r>
          </w:p>
        </w:tc>
        <w:tc>
          <w:tcPr/>
          <w:p>
            <w:pPr>
              <w:pStyle w:val="Compact"/>
              <w:jc w:val="left"/>
            </w:pPr>
            <w:r>
              <w:t xml:space="preserve">Flat Rate</w:t>
            </w:r>
          </w:p>
        </w:tc>
        <w:tc>
          <w:tcPr/>
          <w:p>
            <w:pPr>
              <w:pStyle w:val="Compact"/>
              <w:jc w:val="left"/>
            </w:pPr>
            <w:r>
              <w:t xml:space="preserve">₱680,000.00</w:t>
            </w:r>
          </w:p>
        </w:tc>
      </w:tr>
      <w:tr>
        <w:tc>
          <w:tcPr/>
          <w:p>
            <w:pPr>
              <w:pStyle w:val="Compact"/>
              <w:jc w:val="left"/>
            </w:pPr>
            <w:r>
              <w:t xml:space="preserve">6</w:t>
            </w:r>
          </w:p>
        </w:tc>
        <w:tc>
          <w:tcPr/>
          <w:p>
            <w:pPr>
              <w:pStyle w:val="Compact"/>
              <w:jc w:val="left"/>
            </w:pPr>
            <w:r>
              <w:t xml:space="preserve">Public Disclosure Hearings and Community Consultation (3 sessions)</w:t>
            </w:r>
          </w:p>
        </w:tc>
        <w:tc>
          <w:tcPr/>
          <w:p>
            <w:pPr>
              <w:pStyle w:val="Compact"/>
              <w:jc w:val="left"/>
            </w:pPr>
            <w:r>
              <w:t xml:space="preserve">15 days</w:t>
            </w:r>
          </w:p>
        </w:tc>
        <w:tc>
          <w:tcPr/>
          <w:p>
            <w:pPr>
              <w:pStyle w:val="Compact"/>
              <w:jc w:val="left"/>
            </w:pPr>
            <w:r>
              <w:t xml:space="preserve">Flat Rate</w:t>
            </w:r>
          </w:p>
        </w:tc>
        <w:tc>
          <w:tcPr/>
          <w:p>
            <w:pPr>
              <w:pStyle w:val="Compact"/>
              <w:jc w:val="left"/>
            </w:pPr>
            <w:r>
              <w:t xml:space="preserve">₱225,000.00</w:t>
            </w:r>
          </w:p>
        </w:tc>
      </w:tr>
      <w:tr>
        <w:tc>
          <w:tcPr/>
          <w:p>
            <w:pPr>
              <w:pStyle w:val="Compact"/>
              <w:jc w:val="left"/>
            </w:pPr>
            <w:r>
              <w:t xml:space="preserve">7</w:t>
            </w:r>
          </w:p>
        </w:tc>
        <w:tc>
          <w:tcPr/>
          <w:p>
            <w:pPr>
              <w:pStyle w:val="Compact"/>
              <w:jc w:val="left"/>
            </w:pPr>
            <w:r>
              <w:t xml:space="preserve">Post-Construction Environmental Monitoring (2 years, quarterly)</w:t>
            </w:r>
          </w:p>
        </w:tc>
        <w:tc>
          <w:tcPr/>
          <w:p>
            <w:pPr>
              <w:pStyle w:val="Compact"/>
              <w:jc w:val="left"/>
            </w:pPr>
            <w:r>
              <w:t xml:space="preserve">24 months</w:t>
            </w:r>
          </w:p>
        </w:tc>
        <w:tc>
          <w:tcPr/>
          <w:p>
            <w:pPr>
              <w:pStyle w:val="Compact"/>
              <w:jc w:val="left"/>
            </w:pPr>
            <w:r>
              <w:t xml:space="preserve">₱95,000/quarter</w:t>
            </w:r>
          </w:p>
        </w:tc>
        <w:tc>
          <w:tcPr/>
          <w:p>
            <w:pPr>
              <w:pStyle w:val="Compact"/>
              <w:jc w:val="left"/>
            </w:pPr>
            <w:r>
              <w:t xml:space="preserve">₱760,000.00</w:t>
            </w:r>
          </w:p>
        </w:tc>
      </w:tr>
      <w:tr>
        <w:tc>
          <w:tcPr/>
          <w:p>
            <w:pPr>
              <w:pStyle w:val="Compact"/>
              <w:jc w:val="left"/>
            </w:pPr>
            <w:r>
              <w:t xml:space="preserve">8</w:t>
            </w:r>
          </w:p>
        </w:tc>
        <w:tc>
          <w:tcPr/>
          <w:p>
            <w:pPr>
              <w:pStyle w:val="Compact"/>
              <w:jc w:val="left"/>
            </w:pPr>
            <w:r>
              <w:t xml:space="preserve">Green Building / PGBC Certification Advisory</w:t>
            </w:r>
          </w:p>
        </w:tc>
        <w:tc>
          <w:tcPr/>
          <w:p>
            <w:pPr>
              <w:pStyle w:val="Compact"/>
              <w:jc w:val="left"/>
            </w:pPr>
            <w:r>
              <w:t xml:space="preserve">20 days</w:t>
            </w:r>
          </w:p>
        </w:tc>
        <w:tc>
          <w:tcPr/>
          <w:p>
            <w:pPr>
              <w:pStyle w:val="Compact"/>
              <w:jc w:val="left"/>
            </w:pPr>
            <w:r>
              <w:t xml:space="preserve">Flat Rate</w:t>
            </w:r>
          </w:p>
        </w:tc>
        <w:tc>
          <w:tcPr/>
          <w:p>
            <w:pPr>
              <w:pStyle w:val="Compact"/>
              <w:jc w:val="left"/>
            </w:pPr>
            <w:r>
              <w:t xml:space="preserve">₱380,000.00</w:t>
            </w:r>
          </w:p>
        </w:tc>
      </w:tr>
      <w:tr>
        <w:tc>
          <w:tcPr/>
          <w:p>
            <w:pPr>
              <w:pStyle w:val="Compact"/>
              <w:jc w:val="left"/>
            </w:pPr>
            <w:r>
              <w:t xml:space="preserve">9</w:t>
            </w:r>
          </w:p>
        </w:tc>
        <w:tc>
          <w:tcPr/>
          <w:p>
            <w:pPr>
              <w:pStyle w:val="Compact"/>
              <w:jc w:val="left"/>
            </w:pPr>
            <w:r>
              <w:t xml:space="preserve">Travel, Fieldwork Logistics, and Laboratory Analysis Fees (</w:t>
            </w:r>
            <w:r>
              <w:t xml:space="preserve">Philippines Manila</w:t>
            </w:r>
            <w:r>
              <w:t xml:space="preserve"> </w:t>
            </w:r>
            <w:r>
              <w:t xml:space="preserve">area)</w:t>
            </w:r>
          </w:p>
        </w:tc>
        <w:tc>
          <w:tcPr/>
          <w:p>
            <w:pPr>
              <w:pStyle w:val="Compact"/>
              <w:jc w:val="left"/>
            </w:pPr>
            <w:r>
              <w:t xml:space="preserve">As incurred</w:t>
            </w:r>
          </w:p>
        </w:tc>
        <w:tc>
          <w:tcPr/>
          <w:p>
            <w:pPr>
              <w:pStyle w:val="Compact"/>
              <w:jc w:val="left"/>
            </w:pPr>
            <w:r>
              <w:t xml:space="preserve">Flat Rate</w:t>
            </w:r>
          </w:p>
        </w:tc>
        <w:tc>
          <w:tcPr/>
          <w:p>
            <w:pPr>
              <w:pStyle w:val="Compact"/>
              <w:jc w:val="left"/>
            </w:pPr>
            <w:r>
              <w:t xml:space="preserve">₱195,000.00</w:t>
            </w:r>
          </w:p>
        </w:tc>
      </w:tr>
      <w:tr>
        <w:tc>
          <w:tcPr>
            <w:gridSpan w:val="4"/>
          </w:tcPr>
          <w:p>
            <w:pPr>
              <w:pStyle w:val="Compact"/>
              <w:jc w:val="right"/>
            </w:pPr>
            <w:r>
              <w:t xml:space="preserve">SUBTOTAL (Before VAT):</w:t>
            </w:r>
          </w:p>
        </w:tc>
        <w:tc>
          <w:tcPr/>
          <w:p>
            <w:pPr>
              <w:pStyle w:val="Compact"/>
              <w:jc w:val="left"/>
            </w:pPr>
            <w:r>
              <w:t xml:space="preserve">₱7,035,000.00</w:t>
            </w:r>
          </w:p>
        </w:tc>
      </w:tr>
      <w:tr>
        <w:tc>
          <w:tcPr>
            <w:gridSpan w:val="4"/>
          </w:tcPr>
          <w:p>
            <w:pPr>
              <w:pStyle w:val="Compact"/>
              <w:jc w:val="right"/>
            </w:pPr>
            <w:r>
              <w:t xml:space="preserve">VAT (12%):</w:t>
            </w:r>
          </w:p>
        </w:tc>
        <w:tc>
          <w:tcPr/>
          <w:p>
            <w:pPr>
              <w:pStyle w:val="Compact"/>
              <w:jc w:val="left"/>
            </w:pPr>
            <w:r>
              <w:t xml:space="preserve">₱844,200.00</w:t>
            </w:r>
          </w:p>
        </w:tc>
      </w:tr>
      <w:tr>
        <w:tc>
          <w:tcPr>
            <w:gridSpan w:val="4"/>
          </w:tcPr>
          <w:p>
            <w:pPr>
              <w:pStyle w:val="Compact"/>
              <w:jc w:val="right"/>
            </w:pPr>
            <w:r>
              <w:t xml:space="preserve">TOTAL AMOUNT DUE:</w:t>
            </w:r>
          </w:p>
        </w:tc>
        <w:tc>
          <w:tcPr/>
          <w:p>
            <w:pPr>
              <w:pStyle w:val="Compact"/>
              <w:jc w:val="left"/>
            </w:pPr>
            <w:r>
              <w:t xml:space="preserve">₱7,879,200.00</w:t>
            </w:r>
          </w:p>
        </w:tc>
      </w:tr>
    </w:tbl>
    <w:p>
      <w:pPr>
        <w:pStyle w:val="BodyText"/>
      </w:pPr>
      <w:r>
        <w:t xml:space="preserve">* All amounts are quoted in Philippine Pesos (PHP). This</w:t>
      </w:r>
      <w:r>
        <w:t xml:space="preserve"> </w:t>
      </w:r>
      <w:r>
        <w:t xml:space="preserve">Quotation Estimate</w:t>
      </w:r>
      <w:r>
        <w:t xml:space="preserve"> </w:t>
      </w:r>
      <w:r>
        <w:t xml:space="preserve">is valid for thirty (30) calendar days from the date of issue.</w:t>
      </w:r>
    </w:p>
    <w:bookmarkEnd w:id="23"/>
    <w:bookmarkStart w:id="24" w:name="terms-and-conditions"/>
    <w:p>
      <w:pPr>
        <w:pStyle w:val="Heading3"/>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issued by GreenScape Environmental Consulting Inc. for the exclusive use of Meridian Development Corporation and shall not be transferred or assigned to any third party without prior written consent.</w:t>
      </w:r>
    </w:p>
    <w:p>
      <w:pPr>
        <w:numPr>
          <w:ilvl w:val="0"/>
          <w:numId w:val="1002"/>
        </w:numPr>
        <w:pStyle w:val="Compact"/>
      </w:pPr>
      <w:r>
        <w:t xml:space="preserve">The</w:t>
      </w:r>
      <w:r>
        <w:t xml:space="preserve"> </w:t>
      </w:r>
      <w:r>
        <w:t xml:space="preserve">Environmental Engineer</w:t>
      </w:r>
      <w:r>
        <w:t xml:space="preserve"> </w:t>
      </w:r>
      <w:r>
        <w:t xml:space="preserve">services described herein are subject to the availability of the lead consultant. A confirmed Notice to Proceed (NTP) must be received within the validity period of this quotation.</w:t>
      </w:r>
    </w:p>
    <w:p>
      <w:pPr>
        <w:numPr>
          <w:ilvl w:val="0"/>
          <w:numId w:val="1002"/>
        </w:numPr>
        <w:pStyle w:val="Compact"/>
      </w:pPr>
      <w:r>
        <w:t xml:space="preserve">Payment Terms: 30% upon execution of the Service Contract, 40% upon submission of the complete EIA package to DENR-EMB, 20% upon issuance of the Certificate of Environmental Compliance, and 10% upon completion of the final monitoring report. All payments are due within fifteen (15) business days from the date of invoice.</w:t>
      </w:r>
    </w:p>
    <w:p>
      <w:pPr>
        <w:numPr>
          <w:ilvl w:val="0"/>
          <w:numId w:val="1002"/>
        </w:numPr>
        <w:pStyle w:val="Compact"/>
      </w:pPr>
      <w:r>
        <w:t xml:space="preserve">All fieldwork, laboratory analyses, and site inspections shall be conducted within the</w:t>
      </w:r>
      <w:r>
        <w:t xml:space="preserve"> </w:t>
      </w:r>
      <w:r>
        <w:t xml:space="preserve">Philippines Manila</w:t>
      </w:r>
      <w:r>
        <w:t xml:space="preserve"> </w:t>
      </w:r>
      <w:r>
        <w:t xml:space="preserve">metropolitan area. Any work required outside this geographic scope shall be subject to a separate cost addendum.</w:t>
      </w:r>
    </w:p>
    <w:p>
      <w:pPr>
        <w:numPr>
          <w:ilvl w:val="0"/>
          <w:numId w:val="1002"/>
        </w:numPr>
        <w:pStyle w:val="Compact"/>
      </w:pPr>
      <w:r>
        <w:t xml:space="preserve">The</w:t>
      </w:r>
      <w:r>
        <w:t xml:space="preserve"> </w:t>
      </w:r>
      <w:r>
        <w:t xml:space="preserve">Environmental Engineer</w:t>
      </w:r>
      <w:r>
        <w:t xml:space="preserve"> </w:t>
      </w:r>
      <w:r>
        <w:t xml:space="preserve">and supporting team shall comply with all applicable Philippine laws, including the Philippine Environmental Impact Statement System (PD 1586), the Clean Air Act (RA 8749), the Clean Water Act (RA 9275), and the Ecological Solid Waste Management Act (RA 9003).</w:t>
      </w:r>
    </w:p>
    <w:p>
      <w:pPr>
        <w:numPr>
          <w:ilvl w:val="0"/>
          <w:numId w:val="1002"/>
        </w:numPr>
        <w:pStyle w:val="Compact"/>
      </w:pPr>
      <w:r>
        <w:t xml:space="preserve">Confidentiality: All data, reports, and proprietary information exchanged during the engagement shall be treated as strictly confidential by both parties for a period of five (5) years following project completion.</w:t>
      </w:r>
    </w:p>
    <w:p>
      <w:pPr>
        <w:numPr>
          <w:ilvl w:val="0"/>
          <w:numId w:val="1002"/>
        </w:numPr>
        <w:pStyle w:val="Compact"/>
      </w:pPr>
      <w:r>
        <w:t xml:space="preserve">Force Majeure: Neither party shall be liable for delays caused by natural disasters, government-mandated closures, or other events beyond reasonable control, particularly those affecting the</w:t>
      </w:r>
      <w:r>
        <w:t xml:space="preserve"> </w:t>
      </w:r>
      <w:r>
        <w:t xml:space="preserve">Philippines Manila</w:t>
      </w:r>
      <w:r>
        <w:t xml:space="preserve"> </w:t>
      </w:r>
      <w:r>
        <w:t xml:space="preserve">region such as typhoons, volcanic activity, or pandemic-related restrictions.</w:t>
      </w:r>
    </w:p>
    <w:p>
      <w:pPr>
        <w:numPr>
          <w:ilvl w:val="0"/>
          <w:numId w:val="1002"/>
        </w:numPr>
        <w:pStyle w:val="Compact"/>
      </w:pPr>
      <w:r>
        <w:t xml:space="preserve">Disputes arising from this engagement shall be resolved through amicable negotiation, and failing that, through arbitration under the rules of the Philippine Dispute Resolution Center, Inc. (PDRCI) in</w:t>
      </w:r>
      <w:r>
        <w:t xml:space="preserve"> </w:t>
      </w:r>
      <w:r>
        <w:t xml:space="preserve">Philippines Manila</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herein for the engagement of the</w:t>
      </w:r>
      <w:r>
        <w:t xml:space="preserve"> </w:t>
      </w:r>
      <w:r>
        <w:t xml:space="preserve">Environmental Engineer</w:t>
      </w:r>
      <w:r>
        <w:t xml:space="preserve"> </w:t>
      </w:r>
      <w:r>
        <w:t xml:space="preserve">services in</w:t>
      </w:r>
      <w:r>
        <w:t xml:space="preserve"> </w:t>
      </w:r>
      <w:r>
        <w:t xml:space="preserve">Philippines Manila</w:t>
      </w:r>
      <w:r>
        <w:t xml:space="preserve">.</w:t>
      </w:r>
    </w:p>
    <w:p>
      <w:pPr>
        <w:pStyle w:val="BodyText"/>
      </w:pPr>
      <w:r>
        <w:rPr>
          <w:bCs/>
          <w:b/>
        </w:rPr>
        <w:t xml:space="preserve">For GreenScape Environmental Consulting Inc.</w:t>
      </w:r>
      <w:r>
        <w:br/>
      </w:r>
      <w:r>
        <w:t xml:space="preserve">Name: Engr. Ricardo M. Santos, PE, CESM</w:t>
      </w:r>
      <w:r>
        <w:br/>
      </w:r>
      <w:r>
        <w:t xml:space="preserve">Title: Lead Environmental Engineer / Principal</w:t>
      </w:r>
      <w:r>
        <w:br/>
      </w:r>
      <w:r>
        <w:t xml:space="preserve">Date: ______________________</w:t>
      </w:r>
    </w:p>
    <w:p>
      <w:pPr>
        <w:pStyle w:val="BodyText"/>
      </w:pPr>
      <w:r>
        <w:rPr>
          <w:bCs/>
          <w:b/>
        </w:rPr>
        <w:t xml:space="preserve">For Meridian Development Corporation</w:t>
      </w:r>
      <w:r>
        <w:br/>
      </w:r>
      <w:r>
        <w:t xml:space="preserve">Name: ______________________</w:t>
      </w:r>
      <w:r>
        <w:br/>
      </w:r>
      <w:r>
        <w:t xml:space="preserve">Title: ______________________</w:t>
      </w:r>
      <w:r>
        <w:br/>
      </w:r>
      <w:r>
        <w:t xml:space="preserve">Date: ______________________</w:t>
      </w:r>
    </w:p>
    <w:p>
      <w:pPr>
        <w:pStyle w:val="BodyText"/>
      </w:pPr>
      <w:r>
        <w:t xml:space="preserve">GreenScape Environmental Consulting Inc. |</w:t>
      </w:r>
      <w:r>
        <w:t xml:space="preserve"> </w:t>
      </w:r>
      <w:r>
        <w:t xml:space="preserve">Philippines Manila</w:t>
      </w:r>
      <w:r>
        <w:t xml:space="preserve"> </w:t>
      </w:r>
      <w:r>
        <w:t xml:space="preserve">Metro | This</w:t>
      </w:r>
      <w:r>
        <w:t xml:space="preserve"> </w:t>
      </w:r>
      <w:r>
        <w:t xml:space="preserve">Quotation Estimate</w:t>
      </w:r>
      <w:r>
        <w:t xml:space="preserve"> </w:t>
      </w:r>
      <w:r>
        <w:t xml:space="preserve">is generated electronically and is valid without a physical signature.</w:t>
      </w:r>
    </w:p>
    <w:p>
      <w:pPr>
        <w:pStyle w:val="BodyText"/>
      </w:pPr>
      <w:r>
        <w:t xml:space="preserve">Page 1 of 1 | Document Ref: GSEC-2025-00472 |</w:t>
      </w:r>
      <w:r>
        <w:t xml:space="preserve"> </w:t>
      </w:r>
      <w:r>
        <w:t xml:space="preserve">Environmental Engineer</w:t>
      </w:r>
      <w:r>
        <w:t xml:space="preserve"> </w:t>
      </w:r>
      <w:r>
        <w:t xml:space="preserve">Services Quotation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Philippines Manila</dc:title>
  <dc:creator/>
  <dc:language>en</dc:language>
  <cp:keywords/>
  <dcterms:created xsi:type="dcterms:W3CDTF">2026-10-10T06:17:35Z</dcterms:created>
  <dcterms:modified xsi:type="dcterms:W3CDTF">2026-10-10T06:17:35Z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