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quotation-estimate"/>
    <w:p>
      <w:pPr>
        <w:pStyle w:val="Heading1"/>
      </w:pPr>
      <w:r>
        <w:t xml:space="preserve">Quotation Estimate</w:t>
      </w:r>
    </w:p>
    <w:p>
      <w:pPr>
        <w:pStyle w:val="FirstParagraph"/>
      </w:pPr>
      <w:r>
        <w:t xml:space="preserve">Professional Environmental Engineering Services</w:t>
      </w:r>
    </w:p>
    <w:p>
      <w:pPr>
        <w:pStyle w:val="BodyText"/>
      </w:pPr>
      <w:r>
        <w:t xml:space="preserve">Al Khaleej Environmental Consultancy LLC</w:t>
      </w:r>
    </w:p>
    <w:p>
      <w:pPr>
        <w:pStyle w:val="BodyText"/>
      </w:pPr>
      <w:r>
        <w:t xml:space="preserve">Office 412, Business Bay Tower, Street 35, Doha, State of Qatar</w:t>
      </w:r>
    </w:p>
    <w:p>
      <w:pPr>
        <w:pStyle w:val="BodyText"/>
      </w:pPr>
      <w:r>
        <w:t xml:space="preserve">Tel: +974-4455-6677 | Email: estimates@alkhaleej-env.qa</w:t>
      </w:r>
    </w:p>
    <w:p>
      <w:pPr>
        <w:pStyle w:val="BodyText"/>
      </w:pPr>
      <w:r>
        <w:t xml:space="preserve">Qatar Doha – Licensed Environmental Consultant</w:t>
      </w:r>
    </w:p>
    <w:bookmarkEnd w:id="20"/>
    <w:p>
      <w:pPr>
        <w:pStyle w:val="BodyText"/>
      </w:pPr>
      <w:r>
        <w:rPr>
          <w:bCs/>
          <w:b/>
        </w:rPr>
        <w:t xml:space="preserve">Quotation No.:</w:t>
      </w:r>
      <w:r>
        <w:t xml:space="preserve"> </w:t>
      </w:r>
      <w:r>
        <w:t xml:space="preserve">QE-2025-0847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Qatar Doha</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Qatar Development &amp; Infrastructure Authority (QDIA)</w:t>
            </w:r>
          </w:p>
        </w:tc>
      </w:tr>
      <w:tr>
        <w:tc>
          <w:tcPr/>
          <w:p>
            <w:pPr>
              <w:pStyle w:val="Compact"/>
              <w:jc w:val="left"/>
            </w:pPr>
            <w:r>
              <w:rPr>
                <w:bCs/>
                <w:b/>
              </w:rPr>
              <w:t xml:space="preserve">Project Address:</w:t>
            </w:r>
          </w:p>
        </w:tc>
        <w:tc>
          <w:tcPr/>
          <w:p>
            <w:pPr>
              <w:pStyle w:val="Compact"/>
              <w:jc w:val="left"/>
            </w:pPr>
            <w:r>
              <w:t xml:space="preserve">Industrial Area, Doha, State of Qatar</w:t>
            </w:r>
          </w:p>
        </w:tc>
      </w:tr>
      <w:tr>
        <w:tc>
          <w:tcPr/>
          <w:p>
            <w:pPr>
              <w:pStyle w:val="Compact"/>
              <w:jc w:val="left"/>
            </w:pPr>
            <w:r>
              <w:rPr>
                <w:bCs/>
                <w:b/>
              </w:rPr>
              <w:t xml:space="preserve">Point of Contact:</w:t>
            </w:r>
          </w:p>
        </w:tc>
        <w:tc>
          <w:tcPr/>
          <w:p>
            <w:pPr>
              <w:pStyle w:val="Compact"/>
              <w:jc w:val="left"/>
            </w:pPr>
            <w:r>
              <w:t xml:space="preserve">Eng. Khalid Al-Mansoori – Project Director</w:t>
            </w:r>
          </w:p>
        </w:tc>
      </w:tr>
      <w:tr>
        <w:tc>
          <w:tcPr/>
          <w:p>
            <w:pPr>
              <w:pStyle w:val="Compact"/>
              <w:jc w:val="left"/>
            </w:pPr>
            <w:r>
              <w:rPr>
                <w:bCs/>
                <w:b/>
              </w:rPr>
              <w:t xml:space="preserve">Reference No.:</w:t>
            </w:r>
          </w:p>
        </w:tc>
        <w:tc>
          <w:tcPr/>
          <w:p>
            <w:pPr>
              <w:pStyle w:val="Compact"/>
              <w:jc w:val="left"/>
            </w:pPr>
            <w:r>
              <w:t xml:space="preserve">QDIA/ENV/2025/0312</w:t>
            </w:r>
          </w:p>
        </w:tc>
      </w:tr>
    </w:tbl>
    <w:bookmarkEnd w:id="21"/>
    <w:bookmarkStart w:id="22" w:name="Xf295acc3e1de01af9c2931e3414ac008807f668"/>
    <w:p>
      <w:pPr>
        <w:pStyle w:val="Heading2"/>
      </w:pPr>
      <w:r>
        <w:t xml:space="preserve">2. Scope of Work – Environmental Engineer Services</w:t>
      </w:r>
    </w:p>
    <w:p>
      <w:pPr>
        <w:pStyle w:val="FirstParagraph"/>
      </w:pPr>
      <w:r>
        <w:t xml:space="preserve">This Quotation Estimate is issued by Al Khaleej Environmental Consultancy LLC to provide comprehensive Environmental Engineer services for the proposed mixed-use development project located in the Industrial Area of Qatar Doha. The scope encompasses all phases of environmental assessment, regulatory compliance, and sustainability planning in accordance with the Qatar Environment and Energy Agency (QEEA) regulations and the National Vision 2030 environmental directives.</w:t>
      </w:r>
    </w:p>
    <w:p>
      <w:pPr>
        <w:pStyle w:val="BodyText"/>
      </w:pPr>
      <w:r>
        <w:t xml:space="preserve">The designated Environmental Engineer, holding a Master's degree in Environmental Engineering from a recognized international university and possessing over twelve (12) years of professional experience in the Gulf region, will lead all technical deliverables. The Environmental Engineer will ensure full compliance with Qatar Doha municipal bylaws, Qatari environmental standards, and international best practices for sustainable development.</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(QAR)</w:t>
            </w:r>
          </w:p>
        </w:tc>
        <w:tc>
          <w:tcPr/>
          <w:p>
            <w:pPr>
              <w:pStyle w:val="Compact"/>
              <w:jc w:val="left"/>
            </w:pPr>
            <w:r>
              <w:t xml:space="preserve">Amount (QAR)</w:t>
            </w:r>
          </w:p>
        </w:tc>
      </w:tr>
      <w:tr>
        <w:tc>
          <w:tcPr/>
          <w:p>
            <w:pPr>
              <w:pStyle w:val="Compact"/>
              <w:jc w:val="left"/>
            </w:pPr>
            <w:r>
              <w:t xml:space="preserve">01</w:t>
            </w:r>
          </w:p>
        </w:tc>
        <w:tc>
          <w:tcPr/>
          <w:p>
            <w:pPr>
              <w:pStyle w:val="Compact"/>
              <w:jc w:val="left"/>
            </w:pPr>
            <w:r>
              <w:t xml:space="preserve">Initial Environmental Impact Assessment (EIA) – Site survey, baseline data collection, and stakeholder consultation in Qatar Doha</w:t>
            </w:r>
          </w:p>
        </w:tc>
        <w:tc>
          <w:tcPr/>
          <w:p>
            <w:pPr>
              <w:pStyle w:val="Compact"/>
              <w:jc w:val="left"/>
            </w:pPr>
            <w:r>
              <w:t xml:space="preserve">6 weeks</w:t>
            </w:r>
          </w:p>
        </w:tc>
        <w:tc>
          <w:tcPr/>
          <w:p>
            <w:pPr>
              <w:pStyle w:val="Compact"/>
              <w:jc w:val="left"/>
            </w:pPr>
            <w:r>
              <w:t xml:space="preserve">—</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Air Quality Impact Modelling and Dispersion Study conducted by the lead Environmental Engineer</w:t>
            </w:r>
          </w:p>
        </w:tc>
        <w:tc>
          <w:tcPr/>
          <w:p>
            <w:pPr>
              <w:pStyle w:val="Compact"/>
              <w:jc w:val="left"/>
            </w:pPr>
            <w:r>
              <w:t xml:space="preserve">4 weeks</w:t>
            </w:r>
          </w:p>
        </w:tc>
        <w:tc>
          <w:tcPr/>
          <w:p>
            <w:pPr>
              <w:pStyle w:val="Compact"/>
              <w:jc w:val="left"/>
            </w:pPr>
            <w:r>
              <w:t xml:space="preserve">—</w:t>
            </w:r>
          </w:p>
        </w:tc>
        <w:tc>
          <w:tcPr/>
          <w:p>
            <w:pPr>
              <w:pStyle w:val="Compact"/>
              <w:jc w:val="left"/>
            </w:pPr>
            <w:r>
              <w:t xml:space="preserve">92,500</w:t>
            </w:r>
          </w:p>
        </w:tc>
      </w:tr>
      <w:tr>
        <w:tc>
          <w:tcPr/>
          <w:p>
            <w:pPr>
              <w:pStyle w:val="Compact"/>
              <w:jc w:val="left"/>
            </w:pPr>
            <w:r>
              <w:t xml:space="preserve">03</w:t>
            </w:r>
          </w:p>
        </w:tc>
        <w:tc>
          <w:tcPr/>
          <w:p>
            <w:pPr>
              <w:pStyle w:val="Compact"/>
              <w:jc w:val="left"/>
            </w:pPr>
            <w:r>
              <w:t xml:space="preserve">Water Resources and Wastewater Management Plan for the Qatar Doha project site</w:t>
            </w:r>
          </w:p>
        </w:tc>
        <w:tc>
          <w:tcPr/>
          <w:p>
            <w:pPr>
              <w:pStyle w:val="Compact"/>
              <w:jc w:val="left"/>
            </w:pPr>
            <w:r>
              <w:t xml:space="preserve">5 weeks</w:t>
            </w:r>
          </w:p>
        </w:tc>
        <w:tc>
          <w:tcPr/>
          <w:p>
            <w:pPr>
              <w:pStyle w:val="Compact"/>
              <w:jc w:val="left"/>
            </w:pPr>
            <w:r>
              <w:t xml:space="preserve">—</w:t>
            </w:r>
          </w:p>
        </w:tc>
        <w:tc>
          <w:tcPr/>
          <w:p>
            <w:pPr>
              <w:pStyle w:val="Compact"/>
              <w:jc w:val="left"/>
            </w:pPr>
            <w:r>
              <w:t xml:space="preserve">78,000</w:t>
            </w:r>
          </w:p>
        </w:tc>
      </w:tr>
      <w:tr>
        <w:tc>
          <w:tcPr/>
          <w:p>
            <w:pPr>
              <w:pStyle w:val="Compact"/>
              <w:jc w:val="left"/>
            </w:pPr>
            <w:r>
              <w:t xml:space="preserve">04</w:t>
            </w:r>
          </w:p>
        </w:tc>
        <w:tc>
          <w:tcPr/>
          <w:p>
            <w:pPr>
              <w:pStyle w:val="Compact"/>
              <w:jc w:val="left"/>
            </w:pPr>
            <w:r>
              <w:t xml:space="preserve">Soil and Groundwater Contamination Assessment with laboratory analysis</w:t>
            </w:r>
          </w:p>
        </w:tc>
        <w:tc>
          <w:tcPr/>
          <w:p>
            <w:pPr>
              <w:pStyle w:val="Compact"/>
              <w:jc w:val="left"/>
            </w:pPr>
            <w:r>
              <w:t xml:space="preserve">3 weeks</w:t>
            </w:r>
          </w:p>
        </w:tc>
        <w:tc>
          <w:tcPr/>
          <w:p>
            <w:pPr>
              <w:pStyle w:val="Compact"/>
              <w:jc w:val="left"/>
            </w:pPr>
            <w:r>
              <w:t xml:space="preserve">—</w:t>
            </w:r>
          </w:p>
        </w:tc>
        <w:tc>
          <w:tcPr/>
          <w:p>
            <w:pPr>
              <w:pStyle w:val="Compact"/>
              <w:jc w:val="left"/>
            </w:pPr>
            <w:r>
              <w:t xml:space="preserve">54,000</w:t>
            </w:r>
          </w:p>
        </w:tc>
      </w:tr>
      <w:tr>
        <w:tc>
          <w:tcPr/>
          <w:p>
            <w:pPr>
              <w:pStyle w:val="Compact"/>
              <w:jc w:val="left"/>
            </w:pPr>
            <w:r>
              <w:t xml:space="preserve">05</w:t>
            </w:r>
          </w:p>
        </w:tc>
        <w:tc>
          <w:tcPr/>
          <w:p>
            <w:pPr>
              <w:pStyle w:val="Compact"/>
              <w:jc w:val="left"/>
            </w:pPr>
            <w:r>
              <w:t xml:space="preserve">Noise and Vibration Impact Assessment per Qatari Environmental Standards</w:t>
            </w:r>
          </w:p>
        </w:tc>
        <w:tc>
          <w:tcPr/>
          <w:p>
            <w:pPr>
              <w:pStyle w:val="Compact"/>
              <w:jc w:val="left"/>
            </w:pPr>
            <w:r>
              <w:t xml:space="preserve">3 weeks</w:t>
            </w:r>
          </w:p>
        </w:tc>
        <w:tc>
          <w:tcPr/>
          <w:p>
            <w:pPr>
              <w:pStyle w:val="Compact"/>
              <w:jc w:val="left"/>
            </w:pPr>
            <w:r>
              <w:t xml:space="preserve">—</w:t>
            </w:r>
          </w:p>
        </w:tc>
        <w:tc>
          <w:tcPr/>
          <w:p>
            <w:pPr>
              <w:pStyle w:val="Compact"/>
              <w:jc w:val="left"/>
            </w:pPr>
            <w:r>
              <w:t xml:space="preserve">42,000</w:t>
            </w:r>
          </w:p>
        </w:tc>
      </w:tr>
      <w:tr>
        <w:tc>
          <w:tcPr/>
          <w:p>
            <w:pPr>
              <w:pStyle w:val="Compact"/>
              <w:jc w:val="left"/>
            </w:pPr>
            <w:r>
              <w:t xml:space="preserve">06</w:t>
            </w:r>
          </w:p>
        </w:tc>
        <w:tc>
          <w:tcPr/>
          <w:p>
            <w:pPr>
              <w:pStyle w:val="Compact"/>
              <w:jc w:val="left"/>
            </w:pPr>
            <w:r>
              <w:t xml:space="preserve">Environmental Management Plan (EMP) and Monitoring Protocol preparation</w:t>
            </w:r>
          </w:p>
        </w:tc>
        <w:tc>
          <w:tcPr/>
          <w:p>
            <w:pPr>
              <w:pStyle w:val="Compact"/>
              <w:jc w:val="left"/>
            </w:pPr>
            <w:r>
              <w:t xml:space="preserve">4 weeks</w:t>
            </w:r>
          </w:p>
        </w:tc>
        <w:tc>
          <w:tcPr/>
          <w:p>
            <w:pPr>
              <w:pStyle w:val="Compact"/>
              <w:jc w:val="left"/>
            </w:pPr>
            <w:r>
              <w:t xml:space="preserve">—</w:t>
            </w:r>
          </w:p>
        </w:tc>
        <w:tc>
          <w:tcPr/>
          <w:p>
            <w:pPr>
              <w:pStyle w:val="Compact"/>
              <w:jc w:val="left"/>
            </w:pPr>
            <w:r>
              <w:t xml:space="preserve">67,500</w:t>
            </w:r>
          </w:p>
        </w:tc>
      </w:tr>
      <w:tr>
        <w:tc>
          <w:tcPr/>
          <w:p>
            <w:pPr>
              <w:pStyle w:val="Compact"/>
              <w:jc w:val="left"/>
            </w:pPr>
            <w:r>
              <w:t xml:space="preserve">07</w:t>
            </w:r>
          </w:p>
        </w:tc>
        <w:tc>
          <w:tcPr/>
          <w:p>
            <w:pPr>
              <w:pStyle w:val="Compact"/>
              <w:jc w:val="left"/>
            </w:pPr>
            <w:r>
              <w:t xml:space="preserve">Regulatory Submissions and Liaison with QEEA and Qatar Doha Municipal authorities</w:t>
            </w:r>
          </w:p>
        </w:tc>
        <w:tc>
          <w:tcPr/>
          <w:p>
            <w:pPr>
              <w:pStyle w:val="Compact"/>
              <w:jc w:val="left"/>
            </w:pPr>
            <w:r>
              <w:t xml:space="preserve">Ongoing</w:t>
            </w:r>
          </w:p>
        </w:tc>
        <w:tc>
          <w:tcPr/>
          <w:p>
            <w:pPr>
              <w:pStyle w:val="Compact"/>
              <w:jc w:val="left"/>
            </w:pPr>
            <w:r>
              <w:t xml:space="preserve">—</w:t>
            </w:r>
          </w:p>
        </w:tc>
        <w:tc>
          <w:tcPr/>
          <w:p>
            <w:pPr>
              <w:pStyle w:val="Compact"/>
              <w:jc w:val="left"/>
            </w:pPr>
            <w:r>
              <w:t xml:space="preserve">38,000</w:t>
            </w:r>
          </w:p>
        </w:tc>
      </w:tr>
      <w:tr>
        <w:tc>
          <w:tcPr/>
          <w:p>
            <w:pPr>
              <w:pStyle w:val="Compact"/>
              <w:jc w:val="left"/>
            </w:pPr>
            <w:r>
              <w:t xml:space="preserve">08</w:t>
            </w:r>
          </w:p>
        </w:tc>
        <w:tc>
          <w:tcPr/>
          <w:p>
            <w:pPr>
              <w:pStyle w:val="Compact"/>
              <w:jc w:val="left"/>
            </w:pPr>
            <w:r>
              <w:t xml:space="preserve">Sustainability and Green Building Certification Support (Qatar Green Building Council)</w:t>
            </w:r>
          </w:p>
        </w:tc>
        <w:tc>
          <w:tcPr/>
          <w:p>
            <w:pPr>
              <w:pStyle w:val="Compact"/>
              <w:jc w:val="left"/>
            </w:pPr>
            <w:r>
              <w:t xml:space="preserve">4 weeks</w:t>
            </w:r>
          </w:p>
        </w:tc>
        <w:tc>
          <w:tcPr/>
          <w:p>
            <w:pPr>
              <w:pStyle w:val="Compact"/>
              <w:jc w:val="left"/>
            </w:pPr>
            <w:r>
              <w:t xml:space="preserve">—</w:t>
            </w:r>
          </w:p>
        </w:tc>
        <w:tc>
          <w:tcPr/>
          <w:p>
            <w:pPr>
              <w:pStyle w:val="Compact"/>
              <w:jc w:val="left"/>
            </w:pPr>
            <w:r>
              <w:t xml:space="preserve">55,000</w:t>
            </w:r>
          </w:p>
        </w:tc>
      </w:tr>
      <w:tr>
        <w:tc>
          <w:tcPr/>
          <w:p>
            <w:pPr>
              <w:pStyle w:val="Compact"/>
              <w:jc w:val="left"/>
            </w:pPr>
            <w:r>
              <w:t xml:space="preserve">09</w:t>
            </w:r>
          </w:p>
        </w:tc>
        <w:tc>
          <w:tcPr/>
          <w:p>
            <w:pPr>
              <w:pStyle w:val="Compact"/>
              <w:jc w:val="left"/>
            </w:pPr>
            <w:r>
              <w:t xml:space="preserve">Post-Construction Environmental Monitoring (12-month period) supervised by the Environmental Engineer</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120,000</w:t>
            </w:r>
          </w:p>
        </w:tc>
      </w:tr>
      <w:tr>
        <w:tc>
          <w:tcPr/>
          <w:p>
            <w:pPr>
              <w:pStyle w:val="Compact"/>
              <w:jc w:val="left"/>
            </w:pPr>
            <w:r>
              <w:t xml:space="preserve">10</w:t>
            </w:r>
          </w:p>
        </w:tc>
        <w:tc>
          <w:tcPr/>
          <w:p>
            <w:pPr>
              <w:pStyle w:val="Compact"/>
              <w:jc w:val="left"/>
            </w:pPr>
            <w:r>
              <w:t xml:space="preserve">Final Environmental Compliance Report and Project Closure Documentation</w:t>
            </w:r>
          </w:p>
        </w:tc>
        <w:tc>
          <w:tcPr/>
          <w:p>
            <w:pPr>
              <w:pStyle w:val="Compact"/>
              <w:jc w:val="left"/>
            </w:pPr>
            <w:r>
              <w:t xml:space="preserve">2 weeks</w:t>
            </w:r>
          </w:p>
        </w:tc>
        <w:tc>
          <w:tcPr/>
          <w:p>
            <w:pPr>
              <w:pStyle w:val="Compact"/>
              <w:jc w:val="left"/>
            </w:pPr>
            <w:r>
              <w:t xml:space="preserve">—</w:t>
            </w:r>
          </w:p>
        </w:tc>
        <w:tc>
          <w:tcPr/>
          <w:p>
            <w:pPr>
              <w:pStyle w:val="Compact"/>
              <w:jc w:val="left"/>
            </w:pPr>
            <w:r>
              <w:t xml:space="preserve">30,000</w:t>
            </w:r>
          </w:p>
        </w:tc>
      </w:tr>
      <w:tr>
        <w:tc>
          <w:tcPr>
            <w:gridSpan w:val="4"/>
          </w:tcPr>
          <w:p>
            <w:pPr>
              <w:pStyle w:val="Compact"/>
              <w:jc w:val="right"/>
            </w:pPr>
            <w:r>
              <w:t xml:space="preserve">Subtotal</w:t>
            </w:r>
          </w:p>
        </w:tc>
        <w:tc>
          <w:tcPr/>
          <w:p>
            <w:pPr>
              <w:pStyle w:val="Compact"/>
              <w:jc w:val="left"/>
            </w:pPr>
            <w:r>
              <w:t xml:space="preserve">762,000</w:t>
            </w:r>
          </w:p>
        </w:tc>
      </w:tr>
      <w:tr>
        <w:tc>
          <w:tcPr>
            <w:gridSpan w:val="4"/>
          </w:tcPr>
          <w:p>
            <w:pPr>
              <w:pStyle w:val="Compact"/>
              <w:jc w:val="right"/>
            </w:pPr>
            <w:r>
              <w:t xml:space="preserve">VAT (5%)</w:t>
            </w:r>
          </w:p>
        </w:tc>
        <w:tc>
          <w:tcPr/>
          <w:p>
            <w:pPr>
              <w:pStyle w:val="Compact"/>
              <w:jc w:val="left"/>
            </w:pPr>
            <w:r>
              <w:t xml:space="preserve">38,100</w:t>
            </w:r>
          </w:p>
        </w:tc>
      </w:tr>
      <w:tr>
        <w:tc>
          <w:tcPr>
            <w:gridSpan w:val="4"/>
          </w:tcPr>
          <w:p>
            <w:pPr>
              <w:pStyle w:val="Compact"/>
              <w:jc w:val="right"/>
            </w:pPr>
            <w:r>
              <w:t xml:space="preserve">TOTAL AMOUNT (QAR)</w:t>
            </w:r>
          </w:p>
        </w:tc>
        <w:tc>
          <w:tcPr/>
          <w:p>
            <w:pPr>
              <w:pStyle w:val="Compact"/>
              <w:jc w:val="left"/>
            </w:pPr>
            <w:r>
              <w:t xml:space="preserve">800,100</w:t>
            </w:r>
          </w:p>
        </w:tc>
      </w:tr>
    </w:tbl>
    <w:bookmarkEnd w:id="23"/>
    <w:bookmarkStart w:id="24" w:name="payment-schedule"/>
    <w:p>
      <w:pPr>
        <w:pStyle w:val="Heading2"/>
      </w:pPr>
      <w:r>
        <w:t xml:space="preserve">4. Payment Schedule</w:t>
      </w:r>
    </w:p>
    <w:p>
      <w:pPr>
        <w:pStyle w:val="FirstParagraph"/>
      </w:pPr>
      <w:r>
        <w:t xml:space="preserve">This Quotation Estimate stipulates the following payment milestones, payable within fourteen (14) calendar days of invoice issuance: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(QAR)</w:t>
            </w:r>
          </w:p>
        </w:tc>
      </w:tr>
      <w:tr>
        <w:tc>
          <w:tcPr/>
          <w:p>
            <w:pPr>
              <w:pStyle w:val="Compact"/>
              <w:jc w:val="left"/>
            </w:pPr>
            <w:r>
              <w:t xml:space="preserve">Upon contract signing and mobilization of the Environmental Engineer team</w:t>
            </w:r>
          </w:p>
        </w:tc>
        <w:tc>
          <w:tcPr/>
          <w:p>
            <w:pPr>
              <w:pStyle w:val="Compact"/>
              <w:jc w:val="left"/>
            </w:pPr>
            <w:r>
              <w:t xml:space="preserve">20%</w:t>
            </w:r>
          </w:p>
        </w:tc>
        <w:tc>
          <w:tcPr/>
          <w:p>
            <w:pPr>
              <w:pStyle w:val="Compact"/>
              <w:jc w:val="left"/>
            </w:pPr>
            <w:r>
              <w:t xml:space="preserve">160,020</w:t>
            </w:r>
          </w:p>
        </w:tc>
      </w:tr>
      <w:tr>
        <w:tc>
          <w:tcPr/>
          <w:p>
            <w:pPr>
              <w:pStyle w:val="Compact"/>
              <w:jc w:val="left"/>
            </w:pPr>
            <w:r>
              <w:t xml:space="preserve">Submission of EIA report and baseline studies</w:t>
            </w:r>
          </w:p>
        </w:tc>
        <w:tc>
          <w:tcPr/>
          <w:p>
            <w:pPr>
              <w:pStyle w:val="Compact"/>
              <w:jc w:val="left"/>
            </w:pPr>
            <w:r>
              <w:t xml:space="preserve">25%</w:t>
            </w:r>
          </w:p>
        </w:tc>
        <w:tc>
          <w:tcPr/>
          <w:p>
            <w:pPr>
              <w:pStyle w:val="Compact"/>
              <w:jc w:val="left"/>
            </w:pPr>
            <w:r>
              <w:t xml:space="preserve">200,025</w:t>
            </w:r>
          </w:p>
        </w:tc>
      </w:tr>
      <w:tr>
        <w:tc>
          <w:tcPr/>
          <w:p>
            <w:pPr>
              <w:pStyle w:val="Compact"/>
              <w:jc w:val="left"/>
            </w:pPr>
            <w:r>
              <w:t xml:space="preserve">Completion of all impact assessments and EMP</w:t>
            </w:r>
          </w:p>
        </w:tc>
        <w:tc>
          <w:tcPr/>
          <w:p>
            <w:pPr>
              <w:pStyle w:val="Compact"/>
              <w:jc w:val="left"/>
            </w:pPr>
            <w:r>
              <w:t xml:space="preserve">25%</w:t>
            </w:r>
          </w:p>
        </w:tc>
        <w:tc>
          <w:tcPr/>
          <w:p>
            <w:pPr>
              <w:pStyle w:val="Compact"/>
              <w:jc w:val="left"/>
            </w:pPr>
            <w:r>
              <w:t xml:space="preserve">200,025</w:t>
            </w:r>
          </w:p>
        </w:tc>
      </w:tr>
      <w:tr>
        <w:tc>
          <w:tcPr/>
          <w:p>
            <w:pPr>
              <w:pStyle w:val="Compact"/>
              <w:jc w:val="left"/>
            </w:pPr>
            <w:r>
              <w:t xml:space="preserve">Regulatory approval obtained from QEEA, Qatar Doha</w:t>
            </w:r>
          </w:p>
        </w:tc>
        <w:tc>
          <w:tcPr/>
          <w:p>
            <w:pPr>
              <w:pStyle w:val="Compact"/>
              <w:jc w:val="left"/>
            </w:pPr>
            <w:r>
              <w:t xml:space="preserve">15%</w:t>
            </w:r>
          </w:p>
        </w:tc>
        <w:tc>
          <w:tcPr/>
          <w:p>
            <w:pPr>
              <w:pStyle w:val="Compact"/>
              <w:jc w:val="left"/>
            </w:pPr>
            <w:r>
              <w:t xml:space="preserve">120,015</w:t>
            </w:r>
          </w:p>
        </w:tc>
      </w:tr>
      <w:tr>
        <w:tc>
          <w:tcPr/>
          <w:p>
            <w:pPr>
              <w:pStyle w:val="Compact"/>
              <w:jc w:val="left"/>
            </w:pPr>
            <w:r>
              <w:t xml:space="preserve">Completion of 12-month monitoring and final compliance report</w:t>
            </w:r>
          </w:p>
        </w:tc>
        <w:tc>
          <w:tcPr/>
          <w:p>
            <w:pPr>
              <w:pStyle w:val="Compact"/>
              <w:jc w:val="left"/>
            </w:pPr>
            <w:r>
              <w:t xml:space="preserve">15%</w:t>
            </w:r>
          </w:p>
        </w:tc>
        <w:tc>
          <w:tcPr/>
          <w:p>
            <w:pPr>
              <w:pStyle w:val="Compact"/>
              <w:jc w:val="left"/>
            </w:pPr>
            <w:r>
              <w:t xml:space="preserve">120,015</w:t>
            </w:r>
          </w:p>
        </w:tc>
      </w:tr>
    </w:tbl>
    <w:bookmarkEnd w:id="24"/>
    <w:bookmarkStart w:id="25" w:name="terms-and-conditions"/>
    <w:p>
      <w:pPr>
        <w:pStyle w:val="Heading2"/>
      </w:pPr>
      <w:r>
        <w:t xml:space="preserve">5. Terms and Conditions</w:t>
      </w:r>
    </w:p>
    <w:p>
      <w:pPr>
        <w:numPr>
          <w:ilvl w:val="0"/>
          <w:numId w:val="1001"/>
        </w:numPr>
        <w:pStyle w:val="Compact"/>
      </w:pPr>
      <w:r>
        <w:t xml:space="preserve">This Quotation Estimate is valid for thirty (30) days from the date of issue. Any acceptance beyond this period requires written reconfirmation of pricing.</w:t>
      </w:r>
    </w:p>
    <w:p>
      <w:pPr>
        <w:numPr>
          <w:ilvl w:val="0"/>
          <w:numId w:val="1001"/>
        </w:numPr>
        <w:pStyle w:val="Compact"/>
      </w:pPr>
      <w:r>
        <w:t xml:space="preserve">All Environmental Engineer services shall be performed in strict compliance with Qatari law, Qatar Doha municipal regulations, and QEEA environmental standards.</w:t>
      </w:r>
    </w:p>
    <w:p>
      <w:pPr>
        <w:numPr>
          <w:ilvl w:val="0"/>
          <w:numId w:val="1001"/>
        </w:numPr>
        <w:pStyle w:val="Compact"/>
      </w:pPr>
      <w:r>
        <w:t xml:space="preserve">The Environmental Engineer and all supporting technical staff shall hold valid Qatari professional licenses and insurance coverage as mandated by the Ministry of Labour.</w:t>
      </w:r>
    </w:p>
    <w:p>
      <w:pPr>
        <w:numPr>
          <w:ilvl w:val="0"/>
          <w:numId w:val="1001"/>
        </w:numPr>
        <w:pStyle w:val="Compact"/>
      </w:pPr>
      <w:r>
        <w:t xml:space="preserve">Any scope changes or additional services beyond the items listed in this Quotation Estimate shall be subject to a separate written amendment and additional cost approval.</w:t>
      </w:r>
    </w:p>
    <w:p>
      <w:pPr>
        <w:numPr>
          <w:ilvl w:val="0"/>
          <w:numId w:val="1001"/>
        </w:numPr>
        <w:pStyle w:val="Compact"/>
      </w:pPr>
      <w:r>
        <w:t xml:space="preserve">Confidentiality: All data, reports, and findings generated during the engagement in Qatar Doha shall remain the exclusive property of the client. The Environmental Engineer shall not disclose project details to third parties without written consent.</w:t>
      </w:r>
    </w:p>
    <w:p>
      <w:pPr>
        <w:numPr>
          <w:ilvl w:val="0"/>
          <w:numId w:val="1001"/>
        </w:numPr>
        <w:pStyle w:val="Compact"/>
      </w:pPr>
      <w:r>
        <w:t xml:space="preserve">Force Majeure: Neither party shall be liable for delays caused by events beyond reasonable control, including but not limited to extreme weather conditions common to the Qatar Doha climate, government directives, or pandemics.</w:t>
      </w:r>
    </w:p>
    <w:p>
      <w:pPr>
        <w:numPr>
          <w:ilvl w:val="0"/>
          <w:numId w:val="1001"/>
        </w:numPr>
        <w:pStyle w:val="Compact"/>
      </w:pPr>
      <w:r>
        <w:t xml:space="preserve">Disputes arising from this Quotation Estimate shall be resolved through arbitration in Doha, Qatar, in accordance with the Qatar Arbitration Law.</w:t>
      </w:r>
    </w:p>
    <w:p>
      <w:pPr>
        <w:numPr>
          <w:ilvl w:val="0"/>
          <w:numId w:val="1001"/>
        </w:numPr>
        <w:pStyle w:val="Compact"/>
      </w:pPr>
      <w:r>
        <w:t xml:space="preserve">The total project duration, including the 12-month monitoring phase, is estimated at approximately fourteen (14) months from the date of contract execution.</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the terms, scope, and pricing outlined in this Quotation Estimate for Environmental Engineer services in Qatar Doha.</w:t>
      </w:r>
    </w:p>
    <w:p>
      <w:pPr>
        <w:pStyle w:val="BodyText"/>
      </w:pPr>
      <w:r>
        <w:rPr>
          <w:bCs/>
          <w:b/>
        </w:rPr>
        <w:t xml:space="preserve">For: Al Khaleej Environmental Consultancy LLC</w:t>
      </w:r>
      <w:r>
        <w:br/>
      </w:r>
      <w:r>
        <w:t xml:space="preserve">Name: Eng. Sarah Al-Thani</w:t>
      </w:r>
      <w:r>
        <w:br/>
      </w:r>
      <w:r>
        <w:t xml:space="preserve">Title: Lead Environmental Engineer / Managing Director</w:t>
      </w:r>
      <w:r>
        <w:br/>
      </w:r>
      <w:r>
        <w:t xml:space="preserve">Date: _______________</w:t>
      </w:r>
    </w:p>
    <w:p>
      <w:pPr>
        <w:pStyle w:val="BodyText"/>
      </w:pPr>
      <w:r>
        <w:rPr>
          <w:bCs/>
          <w:b/>
        </w:rPr>
        <w:t xml:space="preserve">For: Qatar Development &amp; Infrastructure Authority</w:t>
      </w:r>
      <w:r>
        <w:br/>
      </w:r>
      <w:r>
        <w:t xml:space="preserve">Name: Eng. Khalid Al-Mansoori</w:t>
      </w:r>
      <w:r>
        <w:br/>
      </w:r>
      <w:r>
        <w:t xml:space="preserve">Title: Project Director</w:t>
      </w:r>
      <w:r>
        <w:br/>
      </w:r>
      <w:r>
        <w:t xml:space="preserve">Date: _______________</w:t>
      </w:r>
    </w:p>
    <w:p>
      <w:pPr>
        <w:pStyle w:val="BodyText"/>
      </w:pPr>
      <w:r>
        <w:t xml:space="preserve">Al Khaleej Environmental Consultancy LLC | CR No. 123456 | Qatar Doha, State of Qatar</w:t>
      </w:r>
    </w:p>
    <w:p>
      <w:pPr>
        <w:pStyle w:val="BodyText"/>
      </w:pPr>
      <w:r>
        <w:t xml:space="preserve">This Quotation Estimate document is generated electronically and is valid without a physical stamp.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Environmental Engineer Services - Qatar Doha</dc:title>
  <dc:creator/>
  <dc:language>en</dc:language>
  <cp:keywords/>
  <dcterms:created xsi:type="dcterms:W3CDTF">2026-10-10T01:48:07Z</dcterms:created>
  <dcterms:modified xsi:type="dcterms:W3CDTF">2026-10-10T01:48:07Z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