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rPr>
          <w:bCs/>
          <w:b/>
        </w:rPr>
        <w:t xml:space="preserve">GreenScape Environmental Consulting Co., Ltd.</w:t>
      </w:r>
    </w:p>
    <w:p>
      <w:pPr>
        <w:pStyle w:val="BodyText"/>
      </w:pPr>
      <w:r>
        <w:t xml:space="preserve">128/45 Sukhumvit Road, Klongtoey, Watthana,</w:t>
      </w:r>
      <w:r>
        <w:t xml:space="preserve"> </w:t>
      </w:r>
      <w:r>
        <w:rPr>
          <w:bCs/>
          <w:b/>
        </w:rPr>
        <w:t xml:space="preserve">Thailand Bangkok</w:t>
      </w:r>
      <w:r>
        <w:t xml:space="preserve"> </w:t>
      </w:r>
      <w:r>
        <w:t xml:space="preserve">10110</w:t>
      </w:r>
    </w:p>
    <w:p>
      <w:pPr>
        <w:pStyle w:val="BodyText"/>
      </w:pPr>
      <w:r>
        <w:t xml:space="preserve">Tel: +66 (0) 2 255 8890 | Email: quotations@greenscape-env.co.th</w:t>
      </w:r>
    </w:p>
    <w:p>
      <w:pPr>
        <w:pStyle w:val="BodyText"/>
      </w:pPr>
      <w:r>
        <w:t xml:space="preserve">Company Registration No. 0105556789012 | VAT No. 0105556789012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GE-2025-BKK-0472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Thai Baht (THB)</w:t>
            </w:r>
          </w:p>
        </w:tc>
      </w:tr>
      <w:tr>
        <w:tc>
          <w:tcPr/>
          <w:p>
            <w:pPr>
              <w:pStyle w:val="Compact"/>
              <w:jc w:val="left"/>
            </w:pPr>
            <w:r>
              <w:t xml:space="preserve">Prepared For:</w:t>
            </w:r>
          </w:p>
        </w:tc>
        <w:tc>
          <w:tcPr>
            <w:gridSpan w:val="3"/>
          </w:tcPr>
          <w:p>
            <w:pPr>
              <w:pStyle w:val="Compact"/>
              <w:jc w:val="left"/>
            </w:pPr>
            <w:r>
              <w:t xml:space="preserve">Siam Riverside Development Group Co., Ltd. – 88 Charoen Krung Road, Bang Rak,</w:t>
            </w:r>
            <w:r>
              <w:t xml:space="preserve"> </w:t>
            </w:r>
            <w:r>
              <w:rPr>
                <w:bCs/>
                <w:b/>
              </w:rPr>
              <w:t xml:space="preserve">Thailand Bangkok</w:t>
            </w:r>
            <w:r>
              <w:t xml:space="preserve"> </w:t>
            </w:r>
            <w:r>
              <w:t xml:space="preserve">10500</w:t>
            </w:r>
          </w:p>
        </w:tc>
      </w:tr>
      <w:tr>
        <w:tc>
          <w:tcPr/>
          <w:p>
            <w:pPr>
              <w:pStyle w:val="Compact"/>
              <w:jc w:val="left"/>
            </w:pPr>
            <w:r>
              <w:t xml:space="preserve">Project Reference:</w:t>
            </w:r>
          </w:p>
        </w:tc>
        <w:tc>
          <w:tcPr>
            <w:gridSpan w:val="3"/>
          </w:tcPr>
          <w:p>
            <w:pPr>
              <w:pStyle w:val="Compact"/>
              <w:jc w:val="left"/>
            </w:pPr>
            <w:r>
              <w:t xml:space="preserve">Environmental Impact Assessment &amp; Compliance – Riverside Commercial Complex, Phase II</w:t>
            </w:r>
          </w:p>
        </w:tc>
      </w:tr>
    </w:tbl>
    <w:p>
      <w:pPr>
        <w:pStyle w:val="BodyText"/>
      </w:pPr>
      <w:r>
        <w:t xml:space="preserve">1. Scope of Work – Environmental Engineer Services in Thailand Bangkok</w:t>
      </w:r>
    </w:p>
    <w:p>
      <w:pPr>
        <w:pStyle w:val="BodyText"/>
      </w:pPr>
      <w:r>
        <w:t xml:space="preserve">This</w:t>
      </w:r>
      <w:r>
        <w:t xml:space="preserve"> </w:t>
      </w:r>
      <w:r>
        <w:t xml:space="preserve">Quotation Estimate</w:t>
      </w:r>
      <w:r>
        <w:t xml:space="preserve"> </w:t>
      </w:r>
      <w:r>
        <w:t xml:space="preserve">is issued by GreenScape Environmental Consulting Co., Ltd. to provide comprehensive</w:t>
      </w:r>
      <w:r>
        <w:t xml:space="preserve"> </w:t>
      </w:r>
      <w:r>
        <w:t xml:space="preserve">Environmental Engineer</w:t>
      </w:r>
      <w:r>
        <w:t xml:space="preserve"> </w:t>
      </w:r>
      <w:r>
        <w:t xml:space="preserve">professional services for the Riverside Commercial Complex, Phase II development project located in the Bang Rak district of</w:t>
      </w:r>
      <w:r>
        <w:t xml:space="preserve"> </w:t>
      </w:r>
      <w:r>
        <w:t xml:space="preserve">Thailand Bangkok</w:t>
      </w:r>
      <w:r>
        <w:t xml:space="preserve">. The scope encompasses all environmental due diligence, regulatory compliance, impact assessment, and mitigation planning required under the Thai Ministry of Natural Resources and Environment (MNRE) regulations, the Bangkok Metropolitan Administration (BMA) environmental bylaws, and applicable international best practices.</w:t>
      </w:r>
    </w:p>
    <w:p>
      <w:pPr>
        <w:pStyle w:val="BodyText"/>
      </w:pPr>
      <w:r>
        <w:t xml:space="preserve">Our team of licensed</w:t>
      </w:r>
      <w:r>
        <w:t xml:space="preserve"> </w:t>
      </w:r>
      <w:r>
        <w:t xml:space="preserve">Environmental Engineer</w:t>
      </w:r>
      <w:r>
        <w:t xml:space="preserve"> </w:t>
      </w:r>
      <w:r>
        <w:t xml:space="preserve">professionals, all registered with the Thai Council of Engineers (TCE), will conduct on-site investigations, laboratory analyses, stakeholder consultations, and the preparation of all mandatory environmental documentation. All fieldwork and reporting will be executed within the</w:t>
      </w:r>
      <w:r>
        <w:t xml:space="preserve"> </w:t>
      </w:r>
      <w:r>
        <w:t xml:space="preserve">Thailand Bangkok</w:t>
      </w:r>
      <w:r>
        <w:t xml:space="preserve"> </w:t>
      </w:r>
      <w:r>
        <w:t xml:space="preserve">metropolitan area, with particular attention to the Chao Phraya River watershed, urban air quality zones, and the BMA's noise and vibration control ordinances.</w:t>
      </w:r>
    </w:p>
    <w:p>
      <w:pPr>
        <w:pStyle w:val="BodyText"/>
      </w:pPr>
      <w:r>
        <w:t xml:space="preserve">2. Detailed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(THB)</w:t>
            </w:r>
          </w:p>
        </w:tc>
        <w:tc>
          <w:tcPr/>
          <w:p>
            <w:pPr>
              <w:pStyle w:val="Compact"/>
              <w:jc w:val="left"/>
            </w:pPr>
            <w:r>
              <w:t xml:space="preserve">Amount (THB)</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Pre-construction Environmental Baseline Survey (soil, groundwater, ambient air, noise, and vibration) across the 12,000 sqm site in</w:t>
            </w:r>
            <w:r>
              <w:t xml:space="preserve"> </w:t>
            </w:r>
            <w:r>
              <w:rPr>
                <w:bCs/>
                <w:b/>
              </w:rPr>
              <w:t xml:space="preserve">Thailand Bangkok</w:t>
            </w:r>
          </w:p>
        </w:tc>
        <w:tc>
          <w:tcPr/>
          <w:p>
            <w:pPr>
              <w:pStyle w:val="Compact"/>
              <w:jc w:val="left"/>
            </w:pPr>
            <w:r>
              <w:t xml:space="preserve">3 weeks / 1 lot</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Includes 14 sampling points</w:t>
            </w:r>
          </w:p>
        </w:tc>
      </w:tr>
      <w:tr>
        <w:tc>
          <w:tcPr/>
          <w:p>
            <w:pPr>
              <w:pStyle w:val="Compact"/>
              <w:jc w:val="left"/>
            </w:pPr>
            <w:r>
              <w:t xml:space="preserve">2</w:t>
            </w:r>
          </w:p>
        </w:tc>
        <w:tc>
          <w:tcPr/>
          <w:p>
            <w:pPr>
              <w:pStyle w:val="Compact"/>
              <w:jc w:val="left"/>
            </w:pPr>
            <w:r>
              <w:t xml:space="preserve">Environmental Impact Assessment (EIA) report preparation in compliance with the 2024 EIA Notification (Royal Gazette) – full scope for commercial development exceeding 10,000 sqm</w:t>
            </w:r>
          </w:p>
        </w:tc>
        <w:tc>
          <w:tcPr/>
          <w:p>
            <w:pPr>
              <w:pStyle w:val="Compact"/>
              <w:jc w:val="left"/>
            </w:pPr>
            <w:r>
              <w:t xml:space="preserve">10 weeks / 1 lot</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Includes public hearing coordination</w:t>
            </w:r>
          </w:p>
        </w:tc>
      </w:tr>
      <w:tr>
        <w:tc>
          <w:tcPr/>
          <w:p>
            <w:pPr>
              <w:pStyle w:val="Compact"/>
              <w:jc w:val="left"/>
            </w:pPr>
            <w:r>
              <w:t xml:space="preserve">3</w:t>
            </w:r>
          </w:p>
        </w:tc>
        <w:tc>
          <w:tcPr/>
          <w:p>
            <w:pPr>
              <w:pStyle w:val="Compact"/>
              <w:jc w:val="left"/>
            </w:pPr>
            <w:r>
              <w:t xml:space="preserve">Construction-phase Environmental Monitoring Plan (CEMP) development and quarterly monitoring by a dedicated</w:t>
            </w:r>
            <w:r>
              <w:t xml:space="preserve"> </w:t>
            </w:r>
            <w:r>
              <w:rPr>
                <w:bCs/>
                <w:b/>
              </w:rPr>
              <w:t xml:space="preserve">Environmental Engineer</w:t>
            </w:r>
            <w:r>
              <w:t xml:space="preserve"> </w:t>
            </w:r>
            <w:r>
              <w:t xml:space="preserve">team</w:t>
            </w:r>
          </w:p>
        </w:tc>
        <w:tc>
          <w:tcPr/>
          <w:p>
            <w:pPr>
              <w:pStyle w:val="Compact"/>
              <w:jc w:val="left"/>
            </w:pPr>
            <w:r>
              <w:t xml:space="preserve">18 months / 6 quarters</w:t>
            </w:r>
          </w:p>
        </w:tc>
        <w:tc>
          <w:tcPr/>
          <w:p>
            <w:pPr>
              <w:pStyle w:val="Compact"/>
              <w:jc w:val="left"/>
            </w:pPr>
            <w:r>
              <w:t xml:space="preserve">185,000</w:t>
            </w:r>
          </w:p>
        </w:tc>
        <w:tc>
          <w:tcPr/>
          <w:p>
            <w:pPr>
              <w:pStyle w:val="Compact"/>
              <w:jc w:val="left"/>
            </w:pPr>
            <w:r>
              <w:t xml:space="preserve">1,110,000</w:t>
            </w:r>
          </w:p>
        </w:tc>
        <w:tc>
          <w:tcPr/>
          <w:p>
            <w:pPr>
              <w:pStyle w:val="Compact"/>
              <w:jc w:val="left"/>
            </w:pPr>
            <w:r>
              <w:t xml:space="preserve">On-site presence 3 days/week</w:t>
            </w:r>
          </w:p>
        </w:tc>
      </w:tr>
      <w:tr>
        <w:tc>
          <w:tcPr/>
          <w:p>
            <w:pPr>
              <w:pStyle w:val="Compact"/>
              <w:jc w:val="left"/>
            </w:pPr>
            <w:r>
              <w:t xml:space="preserve">4</w:t>
            </w:r>
          </w:p>
        </w:tc>
        <w:tc>
          <w:tcPr/>
          <w:p>
            <w:pPr>
              <w:pStyle w:val="Compact"/>
              <w:jc w:val="left"/>
            </w:pPr>
            <w:r>
              <w:t xml:space="preserve">Wastewater treatment system design review and BMA discharge permit application support for the</w:t>
            </w:r>
            <w:r>
              <w:t xml:space="preserve"> </w:t>
            </w:r>
            <w:r>
              <w:rPr>
                <w:bCs/>
                <w:b/>
              </w:rPr>
              <w:t xml:space="preserve">Thailand Bangkok</w:t>
            </w:r>
            <w:r>
              <w:t xml:space="preserve"> </w:t>
            </w:r>
            <w:r>
              <w:t xml:space="preserve">project site</w:t>
            </w:r>
          </w:p>
        </w:tc>
        <w:tc>
          <w:tcPr/>
          <w:p>
            <w:pPr>
              <w:pStyle w:val="Compact"/>
              <w:jc w:val="left"/>
            </w:pPr>
            <w:r>
              <w:t xml:space="preserve">6 weeks / 1 lot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Includes BMA liaison</w:t>
            </w:r>
          </w:p>
        </w:tc>
      </w:tr>
      <w:tr>
        <w:tc>
          <w:tcPr/>
          <w:p>
            <w:pPr>
              <w:pStyle w:val="Compact"/>
              <w:jc w:val="left"/>
            </w:pPr>
            <w:r>
              <w:t xml:space="preserve">5</w:t>
            </w:r>
          </w:p>
        </w:tc>
        <w:tc>
          <w:tcPr/>
          <w:p>
            <w:pPr>
              <w:pStyle w:val="Compact"/>
              <w:jc w:val="left"/>
            </w:pPr>
            <w:r>
              <w:t xml:space="preserve">Air quality dispersion modelling (AERMOD) and dust mitigation strategy for construction and operational phases</w:t>
            </w:r>
          </w:p>
        </w:tc>
        <w:tc>
          <w:tcPr/>
          <w:p>
            <w:pPr>
              <w:pStyle w:val="Compact"/>
              <w:jc w:val="left"/>
            </w:pPr>
            <w:r>
              <w:t xml:space="preserve">4 weeks / 1 lot</w:t>
            </w:r>
          </w:p>
        </w:tc>
        <w:tc>
          <w:tcPr/>
          <w:p>
            <w:pPr>
              <w:pStyle w:val="Compact"/>
              <w:jc w:val="left"/>
            </w:pPr>
            <w:r>
              <w:t xml:space="preserve">275,000</w:t>
            </w:r>
          </w:p>
        </w:tc>
        <w:tc>
          <w:tcPr/>
          <w:p>
            <w:pPr>
              <w:pStyle w:val="Compact"/>
              <w:jc w:val="left"/>
            </w:pPr>
            <w:r>
              <w:t xml:space="preserve">275,000</w:t>
            </w:r>
          </w:p>
        </w:tc>
        <w:tc>
          <w:tcPr/>
          <w:p>
            <w:pPr>
              <w:pStyle w:val="Compact"/>
              <w:jc w:val="left"/>
            </w:pPr>
            <w:r>
              <w:t xml:space="preserve">Per BMA Air Quality Decree</w:t>
            </w:r>
          </w:p>
        </w:tc>
      </w:tr>
      <w:tr>
        <w:tc>
          <w:tcPr/>
          <w:p>
            <w:pPr>
              <w:pStyle w:val="Compact"/>
              <w:jc w:val="left"/>
            </w:pPr>
            <w:r>
              <w:t xml:space="preserve">6</w:t>
            </w:r>
          </w:p>
        </w:tc>
        <w:tc>
          <w:tcPr/>
          <w:p>
            <w:pPr>
              <w:pStyle w:val="Compact"/>
              <w:jc w:val="left"/>
            </w:pPr>
            <w:r>
              <w:t xml:space="preserve">Ecological survey of the adjacent Chao Phraya River buffer zone and biodiversity offset plan</w:t>
            </w:r>
          </w:p>
        </w:tc>
        <w:tc>
          <w:tcPr/>
          <w:p>
            <w:pPr>
              <w:pStyle w:val="Compact"/>
              <w:jc w:val="left"/>
            </w:pPr>
            <w:r>
              <w:t xml:space="preserve">5 weeks / 1 lot</w:t>
            </w:r>
          </w:p>
        </w:tc>
        <w:tc>
          <w:tcPr/>
          <w:p>
            <w:pPr>
              <w:pStyle w:val="Compact"/>
              <w:jc w:val="left"/>
            </w:pPr>
            <w:r>
              <w:t xml:space="preserve">390,000</w:t>
            </w:r>
          </w:p>
        </w:tc>
        <w:tc>
          <w:tcPr/>
          <w:p>
            <w:pPr>
              <w:pStyle w:val="Compact"/>
              <w:jc w:val="left"/>
            </w:pPr>
            <w:r>
              <w:t xml:space="preserve">390,000</w:t>
            </w:r>
          </w:p>
        </w:tc>
        <w:tc>
          <w:tcPr/>
          <w:p>
            <w:pPr>
              <w:pStyle w:val="Compact"/>
              <w:jc w:val="left"/>
            </w:pPr>
            <w:r>
              <w:t xml:space="preserve">Marine &amp; terrestrial species</w:t>
            </w:r>
          </w:p>
        </w:tc>
      </w:tr>
      <w:tr>
        <w:tc>
          <w:tcPr/>
          <w:p>
            <w:pPr>
              <w:pStyle w:val="Compact"/>
              <w:jc w:val="left"/>
            </w:pPr>
            <w:r>
              <w:t xml:space="preserve">7</w:t>
            </w:r>
          </w:p>
        </w:tc>
        <w:tc>
          <w:tcPr/>
          <w:p>
            <w:pPr>
              <w:pStyle w:val="Compact"/>
              <w:jc w:val="left"/>
            </w:pPr>
            <w:r>
              <w:t xml:space="preserve">Environmental Management &amp; Monitoring Plan (EMMP) for post-construction operational phase (5-year framework)</w:t>
            </w:r>
          </w:p>
        </w:tc>
        <w:tc>
          <w:tcPr/>
          <w:p>
            <w:pPr>
              <w:pStyle w:val="Compact"/>
              <w:jc w:val="left"/>
            </w:pPr>
            <w:r>
              <w:t xml:space="preserve">3 weeks / 1 lot</w:t>
            </w:r>
          </w:p>
        </w:tc>
        <w:tc>
          <w:tcPr/>
          <w:p>
            <w:pPr>
              <w:pStyle w:val="Compact"/>
              <w:jc w:val="left"/>
            </w:pPr>
            <w:r>
              <w:t xml:space="preserve">210,000</w:t>
            </w:r>
          </w:p>
        </w:tc>
        <w:tc>
          <w:tcPr/>
          <w:p>
            <w:pPr>
              <w:pStyle w:val="Compact"/>
              <w:jc w:val="left"/>
            </w:pPr>
            <w:r>
              <w:t xml:space="preserve">210,000</w:t>
            </w:r>
          </w:p>
        </w:tc>
        <w:tc>
          <w:tcPr/>
          <w:p>
            <w:pPr>
              <w:pStyle w:val="Compact"/>
              <w:jc w:val="left"/>
            </w:pPr>
            <w:r>
              <w:t xml:space="preserve">Annual review included</w:t>
            </w:r>
          </w:p>
        </w:tc>
      </w:tr>
      <w:tr>
        <w:tc>
          <w:tcPr/>
          <w:p>
            <w:pPr>
              <w:pStyle w:val="Compact"/>
              <w:jc w:val="left"/>
            </w:pPr>
            <w:r>
              <w:t xml:space="preserve">8</w:t>
            </w:r>
          </w:p>
        </w:tc>
        <w:tc>
          <w:tcPr/>
          <w:p>
            <w:pPr>
              <w:pStyle w:val="Compact"/>
              <w:jc w:val="left"/>
            </w:pPr>
            <w:r>
              <w:t xml:space="preserve">Regulatory submission, permit tracking, and liaison with the Pollution Control Department (PCD) and BMA Environmental Office throughout the project lifecycle</w:t>
            </w:r>
          </w:p>
        </w:tc>
        <w:tc>
          <w:tcPr/>
          <w:p>
            <w:pPr>
              <w:pStyle w:val="Compact"/>
              <w:jc w:val="left"/>
            </w:pPr>
            <w:r>
              <w:t xml:space="preserve">24 months / 1 lot</w:t>
            </w:r>
          </w:p>
        </w:tc>
        <w:tc>
          <w:tcPr/>
          <w:p>
            <w:pPr>
              <w:pStyle w:val="Compact"/>
              <w:jc w:val="left"/>
            </w:pPr>
            <w:r>
              <w:t xml:space="preserve">95,000</w:t>
            </w:r>
          </w:p>
        </w:tc>
        <w:tc>
          <w:tcPr/>
          <w:p>
            <w:pPr>
              <w:pStyle w:val="Compact"/>
              <w:jc w:val="left"/>
            </w:pPr>
            <w:r>
              <w:t xml:space="preserve">2,280,000</w:t>
            </w:r>
          </w:p>
        </w:tc>
        <w:tc>
          <w:tcPr/>
          <w:p>
            <w:pPr>
              <w:pStyle w:val="Compact"/>
              <w:jc w:val="left"/>
            </w:pPr>
            <w:r>
              <w:t xml:space="preserve">Monthly reporting</w:t>
            </w:r>
          </w:p>
        </w:tc>
      </w:tr>
      <w:tr>
        <w:tc>
          <w:tcPr/>
          <w:p>
            <w:pPr>
              <w:pStyle w:val="Compact"/>
              <w:jc w:val="left"/>
            </w:pPr>
            <w:r>
              <w:t xml:space="preserve">9</w:t>
            </w:r>
          </w:p>
        </w:tc>
        <w:tc>
          <w:tcPr/>
          <w:p>
            <w:pPr>
              <w:pStyle w:val="Compact"/>
              <w:jc w:val="left"/>
            </w:pPr>
            <w:r>
              <w:t xml:space="preserve">Emergency Environmental Response Plan (EERP) development and staff training workshop (2 sessions)</w:t>
            </w:r>
          </w:p>
        </w:tc>
        <w:tc>
          <w:tcPr/>
          <w:p>
            <w:pPr>
              <w:pStyle w:val="Compact"/>
              <w:jc w:val="left"/>
            </w:pPr>
            <w:r>
              <w:t xml:space="preserve">2 weeks / 1 lot</w:t>
            </w:r>
          </w:p>
        </w:tc>
        <w:tc>
          <w:tcPr/>
          <w:p>
            <w:pPr>
              <w:pStyle w:val="Compact"/>
              <w:jc w:val="left"/>
            </w:pPr>
            <w:r>
              <w:t xml:space="preserve">145,000</w:t>
            </w:r>
          </w:p>
        </w:tc>
        <w:tc>
          <w:tcPr/>
          <w:p>
            <w:pPr>
              <w:pStyle w:val="Compact"/>
              <w:jc w:val="left"/>
            </w:pPr>
            <w:r>
              <w:t xml:space="preserve">145,000</w:t>
            </w:r>
          </w:p>
        </w:tc>
        <w:tc>
          <w:tcPr/>
          <w:p>
            <w:pPr>
              <w:pStyle w:val="Compact"/>
              <w:jc w:val="left"/>
            </w:pPr>
            <w:r>
              <w:t xml:space="preserve">Up to 50 attendees</w:t>
            </w:r>
          </w:p>
        </w:tc>
      </w:tr>
      <w:tr>
        <w:tc>
          <w:tcPr/>
          <w:p>
            <w:pPr>
              <w:pStyle w:val="Compact"/>
              <w:jc w:val="left"/>
            </w:pPr>
            <w:r>
              <w:t xml:space="preserve">10</w:t>
            </w:r>
          </w:p>
        </w:tc>
        <w:tc>
          <w:tcPr/>
          <w:p>
            <w:pPr>
              <w:pStyle w:val="Compact"/>
              <w:jc w:val="left"/>
            </w:pPr>
            <w:r>
              <w:t xml:space="preserve">Final Environmental Compliance Audit and Handover Documentation Package</w:t>
            </w:r>
          </w:p>
        </w:tc>
        <w:tc>
          <w:tcPr/>
          <w:p>
            <w:pPr>
              <w:pStyle w:val="Compact"/>
              <w:jc w:val="left"/>
            </w:pPr>
            <w:r>
              <w:t xml:space="preserve">2 weeks / 1 lot</w:t>
            </w:r>
          </w:p>
        </w:tc>
        <w:tc>
          <w:tcPr/>
          <w:p>
            <w:pPr>
              <w:pStyle w:val="Compact"/>
              <w:jc w:val="left"/>
            </w:pPr>
            <w:r>
              <w:t xml:space="preserve">195,000</w:t>
            </w:r>
          </w:p>
        </w:tc>
        <w:tc>
          <w:tcPr/>
          <w:p>
            <w:pPr>
              <w:pStyle w:val="Compact"/>
              <w:jc w:val="left"/>
            </w:pPr>
            <w:r>
              <w:t xml:space="preserve">195,000</w:t>
            </w:r>
          </w:p>
        </w:tc>
        <w:tc>
          <w:tcPr/>
          <w:p>
            <w:pPr>
              <w:pStyle w:val="Compact"/>
              <w:jc w:val="left"/>
            </w:pPr>
            <w:r>
              <w:t xml:space="preserve">Includes digital archive</w:t>
            </w:r>
          </w:p>
        </w:tc>
      </w:tr>
      <w:tr>
        <w:tc>
          <w:tcPr>
            <w:gridSpan w:val="4"/>
          </w:tcPr>
          <w:p>
            <w:pPr>
              <w:pStyle w:val="Compact"/>
              <w:jc w:val="right"/>
            </w:pPr>
            <w:r>
              <w:t xml:space="preserve">Subtotal (THB)</w:t>
            </w:r>
          </w:p>
        </w:tc>
        <w:tc>
          <w:tcPr/>
          <w:p>
            <w:pPr>
              <w:pStyle w:val="Compact"/>
              <w:jc w:val="left"/>
            </w:pPr>
            <w:r>
              <w:t xml:space="preserve">6,660,000</w:t>
            </w:r>
          </w:p>
        </w:tc>
        <w:tc>
          <w:tcPr/>
          <w:p>
            <w:pPr>
              <w:pStyle w:val="Compact"/>
            </w:pPr>
          </w:p>
        </w:tc>
      </w:tr>
      <w:tr>
        <w:tc>
          <w:tcPr>
            <w:gridSpan w:val="4"/>
          </w:tcPr>
          <w:p>
            <w:pPr>
              <w:pStyle w:val="Compact"/>
              <w:jc w:val="right"/>
            </w:pPr>
            <w:r>
              <w:t xml:space="preserve">VAT 7%</w:t>
            </w:r>
          </w:p>
        </w:tc>
        <w:tc>
          <w:tcPr/>
          <w:p>
            <w:pPr>
              <w:pStyle w:val="Compact"/>
              <w:jc w:val="left"/>
            </w:pPr>
            <w:r>
              <w:t xml:space="preserve">466,200</w:t>
            </w:r>
          </w:p>
        </w:tc>
        <w:tc>
          <w:tcPr/>
          <w:p>
            <w:pPr>
              <w:pStyle w:val="Compact"/>
            </w:pPr>
          </w:p>
        </w:tc>
      </w:tr>
      <w:tr>
        <w:tc>
          <w:tcPr>
            <w:gridSpan w:val="4"/>
          </w:tcPr>
          <w:p>
            <w:pPr>
              <w:pStyle w:val="Compact"/>
              <w:jc w:val="right"/>
            </w:pPr>
            <w:r>
              <w:t xml:space="preserve">TOTAL AMOUNT DUE (THB)</w:t>
            </w:r>
          </w:p>
        </w:tc>
        <w:tc>
          <w:tcPr/>
          <w:p>
            <w:pPr>
              <w:pStyle w:val="Compact"/>
              <w:jc w:val="left"/>
            </w:pPr>
            <w:r>
              <w:t xml:space="preserve">7,126,200</w:t>
            </w:r>
          </w:p>
        </w:tc>
        <w:tc>
          <w:tcPr/>
          <w:p>
            <w:pPr>
              <w:pStyle w:val="Compact"/>
            </w:pP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is subject to re-pricing due to potential changes in material costs, regulatory fees, or labour rates in</w:t>
      </w:r>
      <w:r>
        <w:t xml:space="preserve"> </w:t>
      </w:r>
      <w:r>
        <w:t xml:space="preserve">Thailand Bangkok</w:t>
      </w:r>
      <w:r>
        <w:t xml:space="preserve">.</w:t>
      </w:r>
    </w:p>
    <w:p>
      <w:pPr>
        <w:numPr>
          <w:ilvl w:val="0"/>
          <w:numId w:val="1001"/>
        </w:numPr>
        <w:pStyle w:val="Compact"/>
      </w:pPr>
      <w:r>
        <w:t xml:space="preserve">Payment terms: 30% advance upon signed acceptance, 40% upon completion of the EIA report submission, and 30% upon final compliance audit and handover. All payments are due within fourteen (14) days of invoice date via bank transfer to the account specified on the invoice.</w:t>
      </w:r>
    </w:p>
    <w:p>
      <w:pPr>
        <w:numPr>
          <w:ilvl w:val="0"/>
          <w:numId w:val="1001"/>
        </w:numPr>
        <w:pStyle w:val="Compact"/>
      </w:pPr>
      <w:r>
        <w:t xml:space="preserve">All</w:t>
      </w:r>
      <w:r>
        <w:t xml:space="preserve"> </w:t>
      </w:r>
      <w:r>
        <w:t xml:space="preserve">Environmental Engineer</w:t>
      </w:r>
      <w:r>
        <w:t xml:space="preserve"> </w:t>
      </w:r>
      <w:r>
        <w:t xml:space="preserve">personnel assigned to this project shall hold valid TCE professional licences and shall comply with the Thai Occupational Safety and Health Act B.E. 2554 (2011) and all BMA site regulations.</w:t>
      </w:r>
    </w:p>
    <w:p>
      <w:pPr>
        <w:numPr>
          <w:ilvl w:val="0"/>
          <w:numId w:val="1001"/>
        </w:numPr>
        <w:pStyle w:val="Compact"/>
      </w:pPr>
      <w:r>
        <w:t xml:space="preserve">The client shall provide unrestricted access to the project site in</w:t>
      </w:r>
      <w:r>
        <w:t xml:space="preserve"> </w:t>
      </w:r>
      <w:r>
        <w:t xml:space="preserve">Thailand Bangkok</w:t>
      </w:r>
      <w:r>
        <w:t xml:space="preserve">, including the Chao Phraya River buffer zone, during all scheduled survey and monitoring periods. Access restrictions may result in schedule extensions at no additional cost to GreenScape.</w:t>
      </w:r>
    </w:p>
    <w:p>
      <w:pPr>
        <w:numPr>
          <w:ilvl w:val="0"/>
          <w:numId w:val="1001"/>
        </w:numPr>
        <w:pStyle w:val="Compact"/>
      </w:pPr>
      <w:r>
        <w:t xml:space="preserve">Any change in scope, additional sampling locations, or extended monitoring periods beyond those stated in this</w:t>
      </w:r>
      <w:r>
        <w:t xml:space="preserve"> </w:t>
      </w:r>
      <w:r>
        <w:t xml:space="preserve">Quotation Estimate</w:t>
      </w:r>
      <w:r>
        <w:t xml:space="preserve"> </w:t>
      </w:r>
      <w:r>
        <w:t xml:space="preserve">shall be subject to a written change order and additional charges at the rates specified herein.</w:t>
      </w:r>
    </w:p>
    <w:p>
      <w:pPr>
        <w:numPr>
          <w:ilvl w:val="0"/>
          <w:numId w:val="1001"/>
        </w:numPr>
        <w:pStyle w:val="Compact"/>
      </w:pPr>
      <w:r>
        <w:t xml:space="preserve">GreenScape Environmental Consulting Co., Ltd. shall maintain professional indemnity insurance of not less than THB 20,000,000 for the duration of the engagement.</w:t>
      </w:r>
    </w:p>
    <w:p>
      <w:pPr>
        <w:numPr>
          <w:ilvl w:val="0"/>
          <w:numId w:val="1001"/>
        </w:numPr>
        <w:pStyle w:val="Compact"/>
      </w:pPr>
      <w:r>
        <w:t xml:space="preserve">All reports, data, and documentation produced under this engagement shall be the intellectual property of the client upon full payment. GreenScape retains the right to reference the project in its portfolio with prior written consent.</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mediation under the rules of the Thai Arbitration Institute, with the seat of arbitration in</w:t>
      </w:r>
      <w:r>
        <w:t xml:space="preserve"> </w:t>
      </w:r>
      <w:r>
        <w:t xml:space="preserve">Thailand Bangkok</w:t>
      </w:r>
      <w:r>
        <w:t xml:space="preserve">.</w:t>
      </w:r>
    </w:p>
    <w:p>
      <w:pPr>
        <w:numPr>
          <w:ilvl w:val="0"/>
          <w:numId w:val="1001"/>
        </w:numPr>
        <w:pStyle w:val="Compact"/>
      </w:pPr>
      <w:r>
        <w:t xml:space="preserve">This document constitutes a formal</w:t>
      </w:r>
      <w:r>
        <w:t xml:space="preserve"> </w:t>
      </w:r>
      <w:r>
        <w:t xml:space="preserve">Quotation Estimate</w:t>
      </w:r>
      <w:r>
        <w:t xml:space="preserve"> </w:t>
      </w:r>
      <w:r>
        <w:t xml:space="preserve">and does not constitute a binding contract until a separate Service Agreement is executed by both parties.</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Environmental Engineer</w:t>
      </w:r>
      <w:r>
        <w:t xml:space="preserve"> </w:t>
      </w:r>
      <w:r>
        <w:t xml:space="preserve">services in</w:t>
      </w:r>
      <w:r>
        <w:t xml:space="preserve"> </w:t>
      </w:r>
      <w:r>
        <w:t xml:space="preserve">Thailand Bangkok</w:t>
      </w:r>
      <w:r>
        <w:t xml:space="preserve"> </w:t>
      </w:r>
      <w:r>
        <w:t xml:space="preserve">and agrees to the terms and conditions outlined herein. This acceptance authorizes GreenScape Environmental Consulting Co., Ltd. to commence mobilization and site preparation activities.</w:t>
      </w:r>
    </w:p>
    <w:p>
      <w:pPr>
        <w:pStyle w:val="BodyText"/>
      </w:pPr>
      <w:r>
        <w:rPr>
          <w:bCs/>
          <w:b/>
        </w:rPr>
        <w:t xml:space="preserve">For GreenScape Environmental Consulting Co., Ltd.</w:t>
      </w:r>
      <w:r>
        <w:br/>
      </w:r>
      <w:r>
        <w:t xml:space="preserve">Name: Dr. Anong Chaiyaporn</w:t>
      </w:r>
      <w:r>
        <w:br/>
      </w:r>
      <w:r>
        <w:t xml:space="preserve">Title: Lead Environmental Engineer / Director</w:t>
      </w:r>
      <w:r>
        <w:br/>
      </w:r>
      <w:r>
        <w:t xml:space="preserve">TCE Licence No. 123456</w:t>
      </w:r>
      <w:r>
        <w:br/>
      </w:r>
      <w:r>
        <w:t xml:space="preserve">Date: _______________</w:t>
      </w:r>
    </w:p>
    <w:p>
      <w:pPr>
        <w:pStyle w:val="BodyText"/>
      </w:pPr>
      <w:r>
        <w:rPr>
          <w:bCs/>
          <w:b/>
        </w:rPr>
        <w:t xml:space="preserve">For Siam Riverside Development Group Co., Ltd.</w:t>
      </w:r>
      <w:r>
        <w:br/>
      </w:r>
      <w:r>
        <w:t xml:space="preserve">Name: _________________________</w:t>
      </w:r>
      <w:r>
        <w:br/>
      </w:r>
      <w:r>
        <w:t xml:space="preserve">Title: _________________________</w:t>
      </w:r>
      <w:r>
        <w:br/>
      </w:r>
      <w:r>
        <w:t xml:space="preserve">Date: _______________</w:t>
      </w:r>
    </w:p>
    <w:p>
      <w:pPr>
        <w:pStyle w:val="BodyText"/>
      </w:pPr>
      <w:r>
        <w:t xml:space="preserve">This Quotation Estimate (Ref. GE-2025-BKK-0472) is the property of GreenScape Environmental Consulting Co., Ltd. and is intended solely for the addressee. Unauthorized reproduction or distribution is prohibited. All services are to be performed in accordance with the laws of the Kingdom of Thailand and the regulations of the Bangkok Metropolitan Administration. © 2025 GreenScape Environmental Consulting Co., Ltd. –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Thailand Bangkok</dc:title>
  <dc:creator/>
  <dc:language>en</dc:language>
  <cp:keywords/>
  <dcterms:created xsi:type="dcterms:W3CDTF">2026-10-10T06:39:21Z</dcterms:created>
  <dcterms:modified xsi:type="dcterms:W3CDTF">2026-10-10T06:39:21Z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