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Environmental Engineer Professional Services</w:t>
      </w:r>
    </w:p>
    <w:p>
      <w:pPr>
        <w:pStyle w:val="BodyText"/>
      </w:pPr>
      <w:r>
        <w:t xml:space="preserve">Prepared for Projects in Turkey Ankara</w:t>
      </w:r>
    </w:p>
    <w:p>
      <w:pPr>
        <w:pStyle w:val="BodyText"/>
      </w:pPr>
      <w:r>
        <w:t xml:space="preserve">Document Reference: QE-ANK-2025-0047</w:t>
      </w:r>
    </w:p>
    <w:bookmarkEnd w:id="20"/>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September 2025</w:t>
      </w:r>
      <w:r>
        <w:br/>
      </w:r>
      <w:r>
        <w:rPr>
          <w:bCs/>
          <w:b/>
        </w:rPr>
        <w:t xml:space="preserve">Currency:</w:t>
      </w:r>
      <w:r>
        <w:t xml:space="preserve"> </w:t>
      </w:r>
      <w:r>
        <w:t xml:space="preserve">Turkish Lira (TRY)</w:t>
      </w:r>
    </w:p>
    <w:p>
      <w:pPr>
        <w:pStyle w:val="BodyText"/>
      </w:pPr>
      <w:r>
        <w:rPr>
          <w:bCs/>
          <w:b/>
        </w:rPr>
        <w:t xml:space="preserve">Prepared By:</w:t>
      </w:r>
      <w:r>
        <w:t xml:space="preserve"> </w:t>
      </w:r>
      <w:r>
        <w:t xml:space="preserve">Ankara Environmental Consulting Ltd.</w:t>
      </w:r>
      <w:r>
        <w:br/>
      </w:r>
      <w:r>
        <w:rPr>
          <w:bCs/>
          <w:b/>
        </w:rPr>
        <w:t xml:space="preserve">Address:</w:t>
      </w:r>
      <w:r>
        <w:t xml:space="preserve"> </w:t>
      </w:r>
      <w:r>
        <w:t xml:space="preserve">Kızılay Mah. Atatürk Bulvarı No. 142, 06420 Çankaya, Ankara, Turkey</w:t>
      </w:r>
      <w:r>
        <w:br/>
      </w:r>
      <w:r>
        <w:rPr>
          <w:bCs/>
          <w:b/>
        </w:rPr>
        <w:t xml:space="preserve">Contact:</w:t>
      </w:r>
      <w:r>
        <w:t xml:space="preserve"> </w:t>
      </w:r>
      <w:r>
        <w:t xml:space="preserve">+90 (312) 445 6789 | info@ankaraenvconsult.com.tr</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is formally issued by Ankara Environmental Consulting Ltd. to provide a comprehensive and transparent breakdown of professional fees for the engagement of a certified</w:t>
      </w:r>
      <w:r>
        <w:t xml:space="preserve"> </w:t>
      </w:r>
      <w:r>
        <w:t xml:space="preserve">Environmental Engineer</w:t>
      </w:r>
      <w:r>
        <w:t xml:space="preserve"> </w:t>
      </w:r>
      <w:r>
        <w:t xml:space="preserve">to deliver environmental impact assessment, compliance monitoring, and sustainability advisory services for a commercial development project located in</w:t>
      </w:r>
      <w:r>
        <w:t xml:space="preserve"> </w:t>
      </w:r>
      <w:r>
        <w:t xml:space="preserve">Turkey Ankara</w:t>
      </w:r>
      <w:r>
        <w:t xml:space="preserve">. This</w:t>
      </w:r>
      <w:r>
        <w:t xml:space="preserve"> </w:t>
      </w:r>
      <w:r>
        <w:t xml:space="preserve">Quotation Estimate</w:t>
      </w:r>
      <w:r>
        <w:t xml:space="preserve"> </w:t>
      </w:r>
      <w:r>
        <w:t xml:space="preserve">has been prepared in accordance with the Turkish Environmental Impact Assessment Regulation (ÇED Yönetmeliği) and aligns with the standards set forth by the Ministry of Environment, Urbanization and Climate Change of the Republic of Turkey.</w:t>
      </w:r>
    </w:p>
    <w:p>
      <w:pPr>
        <w:pStyle w:val="BodyText"/>
      </w:pPr>
      <w:r>
        <w:t xml:space="preserve">The</w:t>
      </w:r>
      <w:r>
        <w:t xml:space="preserve"> </w:t>
      </w:r>
      <w:r>
        <w:t xml:space="preserve">Environmental Engineer</w:t>
      </w:r>
      <w:r>
        <w:t xml:space="preserve"> </w:t>
      </w:r>
      <w:r>
        <w:t xml:space="preserve">referenced in this</w:t>
      </w:r>
      <w:r>
        <w:t xml:space="preserve"> </w:t>
      </w:r>
      <w:r>
        <w:t xml:space="preserve">Quotation Estimate</w:t>
      </w:r>
      <w:r>
        <w:t xml:space="preserve"> </w:t>
      </w:r>
      <w:r>
        <w:t xml:space="preserve">holds a valid professional license issued by the Chamber of Environmental Engineers of Turkey (TMMOB Çevre Mühendisleri Odası) and possesses over twelve years of specialized experience in environmental compliance, pollution control, and ecological restoration projects across the Ankara metropolitan region and surrounding provinces.</w:t>
      </w:r>
    </w:p>
    <w:bookmarkEnd w:id="21"/>
    <w:bookmarkStart w:id="22" w:name="Xc4098ae2193fc12a40c8d3c7fea68e7a175cbc6"/>
    <w:p>
      <w:pPr>
        <w:pStyle w:val="Heading2"/>
      </w:pPr>
      <w:r>
        <w:t xml:space="preserve">2. Scope of Services – Environmental Engineer in Turkey Ankara</w:t>
      </w:r>
    </w:p>
    <w:p>
      <w:pPr>
        <w:pStyle w:val="FirstParagraph"/>
      </w:pPr>
      <w:r>
        <w:t xml:space="preserve">The following scope of work defines the professional obligations of the</w:t>
      </w:r>
      <w:r>
        <w:t xml:space="preserve"> </w:t>
      </w:r>
      <w:r>
        <w:t xml:space="preserve">Environmental Engineer</w:t>
      </w:r>
      <w:r>
        <w:t xml:space="preserve"> </w:t>
      </w:r>
      <w:r>
        <w:t xml:space="preserve">as outlined in this</w:t>
      </w:r>
      <w:r>
        <w:t xml:space="preserve"> </w:t>
      </w:r>
      <w:r>
        <w:t xml:space="preserve">Quotation Estimate</w:t>
      </w:r>
      <w:r>
        <w:t xml:space="preserve"> </w:t>
      </w:r>
      <w:r>
        <w:t xml:space="preserve">for the project situated in</w:t>
      </w:r>
      <w:r>
        <w:t xml:space="preserve"> </w:t>
      </w:r>
      <w:r>
        <w:t xml:space="preserve">Turkey Ankara</w:t>
      </w:r>
      <w:r>
        <w:t xml:space="preserve">:</w:t>
      </w:r>
    </w:p>
    <w:p>
      <w:pPr>
        <w:numPr>
          <w:ilvl w:val="0"/>
          <w:numId w:val="1001"/>
        </w:numPr>
        <w:pStyle w:val="Compact"/>
      </w:pPr>
      <w:r>
        <w:t xml:space="preserve">Preparation of a full Environmental Impact Assessment (EIA) report in compliance with Turkish national legislation and EU Directive 2011/92/EU as adopted by Turkey.</w:t>
      </w:r>
    </w:p>
    <w:p>
      <w:pPr>
        <w:numPr>
          <w:ilvl w:val="0"/>
          <w:numId w:val="1001"/>
        </w:numPr>
        <w:pStyle w:val="Compact"/>
      </w:pPr>
      <w:r>
        <w:t xml:space="preserve">Baseline environmental surveys including air quality monitoring, surface and groundwater quality analysis, soil contamination assessment, and biodiversity inventory specific to the Ankara plateau ecosystem.</w:t>
      </w:r>
    </w:p>
    <w:p>
      <w:pPr>
        <w:numPr>
          <w:ilvl w:val="0"/>
          <w:numId w:val="1001"/>
        </w:numPr>
        <w:pStyle w:val="Compact"/>
      </w:pPr>
      <w:r>
        <w:t xml:space="preserve">Design of waste management and pollution prevention systems for the construction and operational phases of the project in</w:t>
      </w:r>
      <w:r>
        <w:t xml:space="preserve"> </w:t>
      </w:r>
      <w:r>
        <w:t xml:space="preserve">Turkey Ankara</w:t>
      </w:r>
      <w:r>
        <w:t xml:space="preserve">.</w:t>
      </w:r>
    </w:p>
    <w:p>
      <w:pPr>
        <w:numPr>
          <w:ilvl w:val="0"/>
          <w:numId w:val="1001"/>
        </w:numPr>
        <w:pStyle w:val="Compact"/>
      </w:pPr>
      <w:r>
        <w:t xml:space="preserve">Development of an Environmental Management Plan (EMP) tailored to the regulatory requirements of the Ankara Provincial Directorate of Environment and Urbanization.</w:t>
      </w:r>
    </w:p>
    <w:p>
      <w:pPr>
        <w:numPr>
          <w:ilvl w:val="0"/>
          <w:numId w:val="1001"/>
        </w:numPr>
        <w:pStyle w:val="Compact"/>
      </w:pPr>
      <w:r>
        <w:t xml:space="preserve">Coordination with local municipal authorities, the Ankara Metropolitan Municipality Environmental Protection Department, and relevant national agencies throughout the permitting process.</w:t>
      </w:r>
    </w:p>
    <w:p>
      <w:pPr>
        <w:numPr>
          <w:ilvl w:val="0"/>
          <w:numId w:val="1001"/>
        </w:numPr>
        <w:pStyle w:val="Compact"/>
      </w:pPr>
      <w:r>
        <w:t xml:space="preserve">Post-construction environmental monitoring for a period of twenty-four (24) months, with quarterly reporting to the client and regulatory bodies.</w:t>
      </w:r>
    </w:p>
    <w:p>
      <w:pPr>
        <w:numPr>
          <w:ilvl w:val="0"/>
          <w:numId w:val="1001"/>
        </w:numPr>
        <w:pStyle w:val="Compact"/>
      </w:pPr>
      <w:r>
        <w:t xml:space="preserve">Preparation of public consultation documentation and facilitation of community engagement sessions as mandated for projects in</w:t>
      </w:r>
      <w:r>
        <w:t xml:space="preserve"> </w:t>
      </w:r>
      <w:r>
        <w:t xml:space="preserve">Turkey Ankara</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Environmental Impact Assessment (EIA) Report Preparation –</w:t>
            </w:r>
            <w:r>
              <w:t xml:space="preserve"> </w:t>
            </w:r>
            <w:r>
              <w:t xml:space="preserve">Environmental Engineer</w:t>
            </w:r>
            <w:r>
              <w:t xml:space="preserve"> </w:t>
            </w:r>
            <w:r>
              <w:t xml:space="preserve">lead consultant</w:t>
            </w:r>
          </w:p>
        </w:tc>
        <w:tc>
          <w:tcPr/>
          <w:p>
            <w:pPr>
              <w:pStyle w:val="Compact"/>
              <w:jc w:val="left"/>
            </w:pPr>
            <w:r>
              <w:t xml:space="preserve">1 report (120+ pages)</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Baseline Environmental Surveys (Air, Water, Soil, Biodiversity) –</w:t>
            </w:r>
            <w:r>
              <w:t xml:space="preserve"> </w:t>
            </w:r>
            <w:r>
              <w:t xml:space="preserve">Turkey Ankara</w:t>
            </w:r>
            <w:r>
              <w:t xml:space="preserve"> </w:t>
            </w:r>
            <w:r>
              <w:t xml:space="preserve">site</w:t>
            </w:r>
          </w:p>
        </w:tc>
        <w:tc>
          <w:tcPr/>
          <w:p>
            <w:pPr>
              <w:pStyle w:val="Compact"/>
              <w:jc w:val="left"/>
            </w:pPr>
            <w:r>
              <w:t xml:space="preserve">4 survey campaigns</w:t>
            </w:r>
          </w:p>
        </w:tc>
        <w:tc>
          <w:tcPr/>
          <w:p>
            <w:pPr>
              <w:pStyle w:val="Compact"/>
              <w:jc w:val="left"/>
            </w:pPr>
            <w:r>
              <w:t xml:space="preserve">92,500</w:t>
            </w:r>
          </w:p>
        </w:tc>
        <w:tc>
          <w:tcPr/>
          <w:p>
            <w:pPr>
              <w:pStyle w:val="Compact"/>
              <w:jc w:val="left"/>
            </w:pPr>
            <w:r>
              <w:t xml:space="preserve">370,000</w:t>
            </w:r>
          </w:p>
        </w:tc>
      </w:tr>
      <w:tr>
        <w:tc>
          <w:tcPr/>
          <w:p>
            <w:pPr>
              <w:pStyle w:val="Compact"/>
              <w:jc w:val="left"/>
            </w:pPr>
            <w:r>
              <w:t xml:space="preserve">03</w:t>
            </w:r>
          </w:p>
        </w:tc>
        <w:tc>
          <w:tcPr/>
          <w:p>
            <w:pPr>
              <w:pStyle w:val="Compact"/>
              <w:jc w:val="left"/>
            </w:pPr>
            <w:r>
              <w:t xml:space="preserve">Waste Management &amp; Pollution Prevention System Design</w:t>
            </w:r>
          </w:p>
        </w:tc>
        <w:tc>
          <w:tcPr/>
          <w:p>
            <w:pPr>
              <w:pStyle w:val="Compact"/>
              <w:jc w:val="left"/>
            </w:pPr>
            <w:r>
              <w:t xml:space="preserve">1 design 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Environmental Management Plan (EMP) Development &amp; Regulatory Submission</w:t>
            </w:r>
          </w:p>
        </w:tc>
        <w:tc>
          <w:tcPr/>
          <w:p>
            <w:pPr>
              <w:pStyle w:val="Compact"/>
              <w:jc w:val="left"/>
            </w:pPr>
            <w:r>
              <w:t xml:space="preserve">1 plan + 2 revisions</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05</w:t>
            </w:r>
          </w:p>
        </w:tc>
        <w:tc>
          <w:tcPr/>
          <w:p>
            <w:pPr>
              <w:pStyle w:val="Compact"/>
              <w:jc w:val="left"/>
            </w:pPr>
            <w:r>
              <w:t xml:space="preserve">Public Consultation &amp; Community Engagement Facilitation –</w:t>
            </w:r>
            <w:r>
              <w:t xml:space="preserve"> </w:t>
            </w:r>
            <w:r>
              <w:t xml:space="preserve">Turkey Ankara</w:t>
            </w:r>
          </w:p>
        </w:tc>
        <w:tc>
          <w:tcPr/>
          <w:p>
            <w:pPr>
              <w:pStyle w:val="Compact"/>
              <w:jc w:val="left"/>
            </w:pPr>
            <w:r>
              <w:t xml:space="preserve">3 public sessions</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06</w:t>
            </w:r>
          </w:p>
        </w:tc>
        <w:tc>
          <w:tcPr/>
          <w:p>
            <w:pPr>
              <w:pStyle w:val="Compact"/>
              <w:jc w:val="left"/>
            </w:pPr>
            <w:r>
              <w:t xml:space="preserve">Post-Construction Environmental Monitoring (Quarterly Reports)</w:t>
            </w:r>
          </w:p>
        </w:tc>
        <w:tc>
          <w:tcPr/>
          <w:p>
            <w:pPr>
              <w:pStyle w:val="Compact"/>
              <w:jc w:val="left"/>
            </w:pPr>
            <w:r>
              <w:t xml:space="preserve">8 quarters (24 months)</w:t>
            </w:r>
          </w:p>
        </w:tc>
        <w:tc>
          <w:tcPr/>
          <w:p>
            <w:pPr>
              <w:pStyle w:val="Compact"/>
              <w:jc w:val="left"/>
            </w:pPr>
            <w:r>
              <w:t xml:space="preserve">48,000</w:t>
            </w:r>
          </w:p>
        </w:tc>
        <w:tc>
          <w:tcPr/>
          <w:p>
            <w:pPr>
              <w:pStyle w:val="Compact"/>
              <w:jc w:val="left"/>
            </w:pPr>
            <w:r>
              <w:t xml:space="preserve">384,000</w:t>
            </w:r>
          </w:p>
        </w:tc>
      </w:tr>
      <w:tr>
        <w:tc>
          <w:tcPr/>
          <w:p>
            <w:pPr>
              <w:pStyle w:val="Compact"/>
              <w:jc w:val="left"/>
            </w:pPr>
            <w:r>
              <w:t xml:space="preserve">07</w:t>
            </w:r>
          </w:p>
        </w:tc>
        <w:tc>
          <w:tcPr/>
          <w:p>
            <w:pPr>
              <w:pStyle w:val="Compact"/>
              <w:jc w:val="left"/>
            </w:pPr>
            <w:r>
              <w:t xml:space="preserve">Regulatory Liaison &amp; Permitting Support – Ankara Provincial Directorate</w:t>
            </w:r>
          </w:p>
        </w:tc>
        <w:tc>
          <w:tcPr/>
          <w:p>
            <w:pPr>
              <w:pStyle w:val="Compact"/>
              <w:jc w:val="left"/>
            </w:pPr>
            <w:r>
              <w:t xml:space="preserve">12 months</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08</w:t>
            </w:r>
          </w:p>
        </w:tc>
        <w:tc>
          <w:tcPr/>
          <w:p>
            <w:pPr>
              <w:pStyle w:val="Compact"/>
              <w:jc w:val="left"/>
            </w:pPr>
            <w:r>
              <w:t xml:space="preserve">Travel, Field Equipment, and Laboratory Analysis Costs –</w:t>
            </w:r>
            <w:r>
              <w:t xml:space="preserve"> </w:t>
            </w:r>
            <w:r>
              <w:t xml:space="preserve">Turkey Ankara</w:t>
            </w:r>
            <w:r>
              <w:t xml:space="preserve"> </w:t>
            </w:r>
            <w:r>
              <w:t xml:space="preserve">region</w:t>
            </w:r>
          </w:p>
        </w:tc>
        <w:tc>
          <w:tcPr/>
          <w:p>
            <w:pPr>
              <w:pStyle w:val="Compact"/>
              <w:jc w:val="left"/>
            </w:pPr>
            <w:r>
              <w:t xml:space="preserve">Lump sum</w:t>
            </w:r>
          </w:p>
        </w:tc>
        <w:tc>
          <w:tcPr/>
          <w:p>
            <w:pPr>
              <w:pStyle w:val="Compact"/>
              <w:jc w:val="left"/>
            </w:pPr>
            <w:r>
              <w:t xml:space="preserve">54,000</w:t>
            </w:r>
          </w:p>
        </w:tc>
        <w:tc>
          <w:tcPr/>
          <w:p>
            <w:pPr>
              <w:pStyle w:val="Compact"/>
              <w:jc w:val="left"/>
            </w:pPr>
            <w:r>
              <w:t xml:space="preserve">54,000</w:t>
            </w:r>
          </w:p>
        </w:tc>
      </w:tr>
      <w:tr>
        <w:tc>
          <w:tcPr>
            <w:gridSpan w:val="4"/>
          </w:tcPr>
          <w:p>
            <w:pPr>
              <w:pStyle w:val="Compact"/>
              <w:jc w:val="left"/>
            </w:pPr>
            <w:r>
              <w:t xml:space="preserve">Subtotal</w:t>
            </w:r>
          </w:p>
        </w:tc>
        <w:tc>
          <w:tcPr/>
          <w:p>
            <w:pPr>
              <w:pStyle w:val="Compact"/>
              <w:jc w:val="left"/>
            </w:pPr>
            <w:r>
              <w:t xml:space="preserve">1,361,000</w:t>
            </w:r>
          </w:p>
        </w:tc>
      </w:tr>
      <w:tr>
        <w:tc>
          <w:tcPr>
            <w:gridSpan w:val="4"/>
          </w:tcPr>
          <w:p>
            <w:pPr>
              <w:pStyle w:val="Compact"/>
              <w:jc w:val="left"/>
            </w:pPr>
            <w:r>
              <w:t xml:space="preserve">VAT (KDV) – 20%</w:t>
            </w:r>
          </w:p>
        </w:tc>
        <w:tc>
          <w:tcPr/>
          <w:p>
            <w:pPr>
              <w:pStyle w:val="Compact"/>
              <w:jc w:val="left"/>
            </w:pPr>
            <w:r>
              <w:t xml:space="preserve">272,200</w:t>
            </w:r>
          </w:p>
        </w:tc>
      </w:tr>
      <w:tr>
        <w:tc>
          <w:tcPr>
            <w:gridSpan w:val="4"/>
          </w:tcPr>
          <w:p>
            <w:pPr>
              <w:pStyle w:val="Compact"/>
              <w:jc w:val="left"/>
            </w:pPr>
            <w:r>
              <w:rPr>
                <w:bCs/>
                <w:b/>
              </w:rPr>
              <w:t xml:space="preserve">Grand Total (Quotation Estimate)</w:t>
            </w:r>
          </w:p>
        </w:tc>
        <w:tc>
          <w:tcPr/>
          <w:p>
            <w:pPr>
              <w:pStyle w:val="Compact"/>
              <w:jc w:val="left"/>
            </w:pPr>
            <w:r>
              <w:rPr>
                <w:bCs/>
                <w:b/>
              </w:rPr>
              <w:t xml:space="preserve">1,633,200 TRY</w:t>
            </w:r>
          </w:p>
        </w:tc>
      </w:tr>
    </w:tbl>
    <w:bookmarkEnd w:id="23"/>
    <w:bookmarkStart w:id="24" w:name="payment-schedule"/>
    <w:p>
      <w:pPr>
        <w:pStyle w:val="Heading2"/>
      </w:pPr>
      <w:r>
        <w:t xml:space="preserve">4. Payment Schedule</w:t>
      </w:r>
    </w:p>
    <w:p>
      <w:pPr>
        <w:pStyle w:val="FirstParagraph"/>
      </w:pPr>
      <w:r>
        <w:t xml:space="preserve">As stipulated in this</w:t>
      </w:r>
      <w:r>
        <w:t xml:space="preserve"> </w:t>
      </w:r>
      <w:r>
        <w:t xml:space="preserve">Quotation Estimate</w:t>
      </w:r>
      <w:r>
        <w:t xml:space="preserve">, payment for the</w:t>
      </w:r>
      <w:r>
        <w:t xml:space="preserve"> </w:t>
      </w:r>
      <w:r>
        <w:t xml:space="preserve">Environmental Engineer</w:t>
      </w:r>
      <w:r>
        <w:t xml:space="preserve"> </w:t>
      </w:r>
      <w:r>
        <w:t xml:space="preserve">services in</w:t>
      </w:r>
      <w:r>
        <w:t xml:space="preserve"> </w:t>
      </w:r>
      <w:r>
        <w:t xml:space="preserve">Turkey Ankara</w:t>
      </w:r>
      <w:r>
        <w:t xml:space="preserve"> </w:t>
      </w:r>
      <w:r>
        <w:t xml:space="preserve">shall be structured as follows:</w:t>
      </w:r>
    </w:p>
    <w:p>
      <w:pPr>
        <w:numPr>
          <w:ilvl w:val="0"/>
          <w:numId w:val="1002"/>
        </w:numPr>
        <w:pStyle w:val="Compact"/>
      </w:pPr>
      <w:r>
        <w:rPr>
          <w:bCs/>
          <w:b/>
        </w:rPr>
        <w:t xml:space="preserve">30% Advance Payment:</w:t>
      </w:r>
      <w:r>
        <w:t xml:space="preserve"> </w:t>
      </w:r>
      <w:r>
        <w:t xml:space="preserve">Due upon signing of the service agreement and issuance of the purchase order.</w:t>
      </w:r>
    </w:p>
    <w:p>
      <w:pPr>
        <w:numPr>
          <w:ilvl w:val="0"/>
          <w:numId w:val="1002"/>
        </w:numPr>
        <w:pStyle w:val="Compact"/>
      </w:pPr>
      <w:r>
        <w:rPr>
          <w:bCs/>
          <w:b/>
        </w:rPr>
        <w:t xml:space="preserve">40% Milestone Payment:</w:t>
      </w:r>
      <w:r>
        <w:t xml:space="preserve"> </w:t>
      </w:r>
      <w:r>
        <w:t xml:space="preserve">Due upon successful submission and acceptance of the EIA report by the Ankara Provincial Directorate of Environment and Urbanization.</w:t>
      </w:r>
    </w:p>
    <w:p>
      <w:pPr>
        <w:numPr>
          <w:ilvl w:val="0"/>
          <w:numId w:val="1002"/>
        </w:numPr>
        <w:pStyle w:val="Compact"/>
      </w:pPr>
      <w:r>
        <w:rPr>
          <w:bCs/>
          <w:b/>
        </w:rPr>
        <w:t xml:space="preserve">30% Final Payment:</w:t>
      </w:r>
      <w:r>
        <w:t xml:space="preserve"> </w:t>
      </w:r>
      <w:r>
        <w:t xml:space="preserve">Due upon completion of the twenty-four-month post-construction monitoring period and delivery of the final environmental compliance certificate.</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pricing may be subject to revision based on market conditions in</w:t>
      </w:r>
      <w:r>
        <w:t xml:space="preserve"> </w:t>
      </w:r>
      <w:r>
        <w:t xml:space="preserve">Turkey Ankara</w:t>
      </w:r>
      <w:r>
        <w:t xml:space="preserve">.</w:t>
      </w:r>
    </w:p>
    <w:p>
      <w:pPr>
        <w:numPr>
          <w:ilvl w:val="0"/>
          <w:numId w:val="1003"/>
        </w:numPr>
        <w:pStyle w:val="Compact"/>
      </w:pPr>
      <w:r>
        <w:t xml:space="preserve">All fees quoted are exclusive of any additional laboratory testing costs that may arise from unforeseen contamination findings at the</w:t>
      </w:r>
      <w:r>
        <w:t xml:space="preserve"> </w:t>
      </w:r>
      <w:r>
        <w:t xml:space="preserve">Turkey Ankara</w:t>
      </w:r>
      <w:r>
        <w:t xml:space="preserve"> </w:t>
      </w:r>
      <w:r>
        <w:t xml:space="preserve">project site. Such costs will be itemized in a supplementary</w:t>
      </w:r>
      <w:r>
        <w:t xml:space="preserve"> </w:t>
      </w:r>
      <w:r>
        <w:t xml:space="preserve">Quotation Estimate</w:t>
      </w:r>
      <w:r>
        <w:t xml:space="preserve"> </w:t>
      </w:r>
      <w:r>
        <w:t xml:space="preserve">prior to execution.</w:t>
      </w:r>
    </w:p>
    <w:p>
      <w:pPr>
        <w:numPr>
          <w:ilvl w:val="0"/>
          <w:numId w:val="1003"/>
        </w:numPr>
        <w:pStyle w:val="Compact"/>
      </w:pPr>
      <w:r>
        <w:t xml:space="preserve">The</w:t>
      </w:r>
      <w:r>
        <w:t xml:space="preserve"> </w:t>
      </w:r>
      <w:r>
        <w:t xml:space="preserve">Environmental Engineer</w:t>
      </w:r>
      <w:r>
        <w:t xml:space="preserve"> </w:t>
      </w:r>
      <w:r>
        <w:t xml:space="preserve">shall maintain professional liability insurance with a minimum coverage of 5,000,000 TRY throughout the duration of the engagement.</w:t>
      </w:r>
    </w:p>
    <w:p>
      <w:pPr>
        <w:numPr>
          <w:ilvl w:val="0"/>
          <w:numId w:val="1003"/>
        </w:numPr>
        <w:pStyle w:val="Compact"/>
      </w:pPr>
      <w:r>
        <w:t xml:space="preserve">All deliverables shall be produced in both Turkish and English to satisfy the bilingual documentation requirements of the Ankara municipal authorities.</w:t>
      </w:r>
    </w:p>
    <w:p>
      <w:pPr>
        <w:numPr>
          <w:ilvl w:val="0"/>
          <w:numId w:val="1003"/>
        </w:numPr>
        <w:pStyle w:val="Compact"/>
      </w:pPr>
      <w:r>
        <w:t xml:space="preserve">Intellectual property of all reports, plans, and data generated under this</w:t>
      </w:r>
      <w:r>
        <w:t xml:space="preserve"> </w:t>
      </w:r>
      <w:r>
        <w:t xml:space="preserve">Quotation Estimate</w:t>
      </w:r>
      <w:r>
        <w:t xml:space="preserve"> </w:t>
      </w:r>
      <w:r>
        <w:t xml:space="preserve">shall transfer to the client upon full payment.</w:t>
      </w:r>
    </w:p>
    <w:p>
      <w:pPr>
        <w:numPr>
          <w:ilvl w:val="0"/>
          <w:numId w:val="1003"/>
        </w:numPr>
        <w:pStyle w:val="Compact"/>
      </w:pPr>
      <w:r>
        <w:t xml:space="preserve">Force majeure events, including but not limited to natural disasters affecting the</w:t>
      </w:r>
      <w:r>
        <w:t xml:space="preserve"> </w:t>
      </w:r>
      <w:r>
        <w:t xml:space="preserve">Turkey Ankara</w:t>
      </w:r>
      <w:r>
        <w:t xml:space="preserve"> </w:t>
      </w:r>
      <w:r>
        <w:t xml:space="preserve">region, shall extend project timelines without penalty to either party.</w:t>
      </w:r>
    </w:p>
    <w:p>
      <w:pPr>
        <w:numPr>
          <w:ilvl w:val="0"/>
          <w:numId w:val="1003"/>
        </w:numPr>
        <w:pStyle w:val="Compact"/>
      </w:pPr>
      <w:r>
        <w:t xml:space="preserve">Disputes arising from this</w:t>
      </w:r>
      <w:r>
        <w:t xml:space="preserve"> </w:t>
      </w:r>
      <w:r>
        <w:t xml:space="preserve">Quotation Estimate</w:t>
      </w:r>
      <w:r>
        <w:t xml:space="preserve"> </w:t>
      </w:r>
      <w:r>
        <w:t xml:space="preserve">shall be resolved through arbitration in Ankara, Turkey, in accordance with the rules of the Istanbul Chamber of Commerce.</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assumes standard working conditions at the project site in</w:t>
      </w:r>
      <w:r>
        <w:t xml:space="preserve"> </w:t>
      </w:r>
      <w:r>
        <w:t xml:space="preserve">Turkey Ankara</w:t>
      </w:r>
      <w:r>
        <w:t xml:space="preserve">. If the</w:t>
      </w:r>
      <w:r>
        <w:t xml:space="preserve"> </w:t>
      </w:r>
      <w:r>
        <w:t xml:space="preserve">Environmental Engineer</w:t>
      </w:r>
      <w:r>
        <w:t xml:space="preserve"> </w:t>
      </w:r>
      <w:r>
        <w:t xml:space="preserve">is required to conduct additional fieldwork in remote or hazardous zones beyond the immediate Ankara metropolitan boundary, a revised</w:t>
      </w:r>
      <w:r>
        <w:t xml:space="preserve"> </w:t>
      </w:r>
      <w:r>
        <w:t xml:space="preserve">Quotation Estimate</w:t>
      </w:r>
      <w:r>
        <w:t xml:space="preserve"> </w:t>
      </w:r>
      <w:r>
        <w:t xml:space="preserve">will be issued within five (5) business days.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accept the terms, scope, and pricing outlined in this</w:t>
      </w:r>
      <w:r>
        <w:t xml:space="preserve"> </w:t>
      </w:r>
      <w:r>
        <w:t xml:space="preserve">Quotation Estimate</w:t>
      </w:r>
      <w:r>
        <w:t xml:space="preserve"> </w:t>
      </w:r>
      <w:r>
        <w:t xml:space="preserve">for the engagement of the</w:t>
      </w:r>
      <w:r>
        <w:t xml:space="preserve"> </w:t>
      </w:r>
      <w:r>
        <w:t xml:space="preserve">Environmental Engineer</w:t>
      </w:r>
      <w:r>
        <w:t xml:space="preserve"> </w:t>
      </w:r>
      <w:r>
        <w:t xml:space="preserve">for the project in</w:t>
      </w:r>
      <w:r>
        <w:t xml:space="preserve"> </w:t>
      </w:r>
      <w:r>
        <w:t xml:space="preserve">Turkey Ankara</w:t>
      </w:r>
      <w:r>
        <w:t xml:space="preserve">.</w:t>
      </w:r>
    </w:p>
    <w:p>
      <w:pPr>
        <w:pStyle w:val="BodyText"/>
      </w:pPr>
      <w:r>
        <w:rPr>
          <w:bCs/>
          <w:b/>
        </w:rPr>
        <w:t xml:space="preserve">For Ankara Environmental Consulting Ltd.</w:t>
      </w:r>
      <w:r>
        <w:br/>
      </w:r>
      <w:r>
        <w:t xml:space="preserve">Name: Dr. Elif Yılmaz, P.Eng.</w:t>
      </w:r>
      <w:r>
        <w:br/>
      </w:r>
      <w:r>
        <w:t xml:space="preserve">Title: Lead Environmental Engineer</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w:t>
      </w:r>
    </w:p>
    <w:p>
      <w:pPr>
        <w:pStyle w:val="BodyText"/>
      </w:pPr>
      <w:r>
        <w:t xml:space="preserve">Quotation Estimate QE-ANK-2025-0047 | Environmental Engineer Services | Turkey Ankara</w:t>
      </w:r>
    </w:p>
    <w:p>
      <w:pPr>
        <w:pStyle w:val="BodyText"/>
      </w:pPr>
      <w:r>
        <w:t xml:space="preserve">Ankara Environmental Consulting Ltd. – Kızılay Mah. Atatürk Bulvarı No. 142, 06420 Çankaya, Ankara, Turkey</w:t>
      </w:r>
    </w:p>
    <w:p>
      <w:pPr>
        <w:pStyle w:val="BodyText"/>
      </w:pPr>
      <w:r>
        <w:t xml:space="preserve">Tax ID (VKN): 1234567890 | This document is electronically generated and valid without a physical stamp.</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Turkey Ankara</dc:title>
  <dc:creator/>
  <dc:language>en</dc:language>
  <cp:keywords/>
  <dcterms:created xsi:type="dcterms:W3CDTF">2026-10-10T03:32:17Z</dcterms:created>
  <dcterms:modified xsi:type="dcterms:W3CDTF">2026-10-10T03:32:17Z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