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X1a121c16bc3de19d3d39b42c287d9573947e11b"/>
    <w:p>
      <w:pPr>
        <w:pStyle w:val="Heading1"/>
      </w:pPr>
      <w:r>
        <w:t xml:space="preserve">GreenScape Environmental Consultants Ltd.</w:t>
      </w:r>
    </w:p>
    <w:p>
      <w:pPr>
        <w:pStyle w:val="FirstParagraph"/>
      </w:pPr>
      <w:r>
        <w:t xml:space="preserve">P.O. Box 4521, Plot 12, Kampala Road</w:t>
      </w:r>
    </w:p>
    <w:p>
      <w:pPr>
        <w:pStyle w:val="BodyText"/>
      </w:pPr>
      <w:r>
        <w:t xml:space="preserve">Kampala, Uganda</w:t>
      </w:r>
    </w:p>
    <w:p>
      <w:pPr>
        <w:pStyle w:val="BodyText"/>
      </w:pPr>
      <w:r>
        <w:t xml:space="preserve">Tel: +256 772 345 678 | Email: info@greenscape-ug.com</w:t>
      </w:r>
    </w:p>
    <w:p>
      <w:pPr>
        <w:pStyle w:val="BodyText"/>
      </w:pPr>
      <w:r>
        <w:t xml:space="preserve">Uganda Registration No: UG/2019/ENV/00847</w:t>
      </w:r>
    </w:p>
    <w:bookmarkEnd w:id="20"/>
    <w:p>
      <w:pPr>
        <w:pStyle w:val="BodyText"/>
      </w:pPr>
      <w:r>
        <w:t xml:space="preserve">Date: 15 June 2025</w:t>
      </w:r>
    </w:p>
    <w:p>
      <w:pPr>
        <w:pStyle w:val="BodyText"/>
      </w:pPr>
      <w:r>
        <w:t xml:space="preserve">Ref: GSEC/QE/2025/0342</w:t>
      </w:r>
    </w:p>
    <w:bookmarkStart w:id="21" w:name="quotation-estimate"/>
    <w:p>
      <w:pPr>
        <w:pStyle w:val="Heading2"/>
      </w:pPr>
      <w:r>
        <w:t xml:space="preserve">Quotation Estimate</w:t>
      </w:r>
    </w:p>
    <w:p>
      <w:pPr>
        <w:pStyle w:val="FirstParagraph"/>
      </w:pPr>
      <w:r>
        <w:t xml:space="preserve">Professional Environmental Engineer Services — Uganda Kampala</w:t>
      </w:r>
    </w:p>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GSEC/QE/2025/0342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calendar days)</w:t>
            </w:r>
          </w:p>
        </w:tc>
      </w:tr>
      <w:tr>
        <w:tc>
          <w:tcPr/>
          <w:p>
            <w:pPr>
              <w:pStyle w:val="Compact"/>
              <w:jc w:val="left"/>
            </w:pPr>
            <w:r>
              <w:t xml:space="preserve">Prepared For</w:t>
            </w:r>
          </w:p>
        </w:tc>
        <w:tc>
          <w:tcPr/>
          <w:p>
            <w:pPr>
              <w:pStyle w:val="Compact"/>
              <w:jc w:val="left"/>
            </w:pPr>
            <w:r>
              <w:t xml:space="preserve">Kampala Capital City Authority (KCCA) — Environmental Management Division</w:t>
            </w:r>
          </w:p>
        </w:tc>
      </w:tr>
      <w:tr>
        <w:tc>
          <w:tcPr/>
          <w:p>
            <w:pPr>
              <w:pStyle w:val="Compact"/>
              <w:jc w:val="left"/>
            </w:pPr>
            <w:r>
              <w:t xml:space="preserve">Project Location</w:t>
            </w:r>
          </w:p>
        </w:tc>
        <w:tc>
          <w:tcPr/>
          <w:p>
            <w:pPr>
              <w:pStyle w:val="Compact"/>
              <w:jc w:val="left"/>
            </w:pPr>
            <w:r>
              <w:t xml:space="preserve">Industrial Zone, Ntinda, Kampala, Uganda</w:t>
            </w:r>
          </w:p>
        </w:tc>
      </w:tr>
      <w:tr>
        <w:tc>
          <w:tcPr/>
          <w:p>
            <w:pPr>
              <w:pStyle w:val="Compact"/>
              <w:jc w:val="left"/>
            </w:pPr>
            <w:r>
              <w:t xml:space="preserve">Prepared By</w:t>
            </w:r>
          </w:p>
        </w:tc>
        <w:tc>
          <w:tcPr/>
          <w:p>
            <w:pPr>
              <w:pStyle w:val="Compact"/>
              <w:jc w:val="left"/>
            </w:pPr>
            <w:r>
              <w:t xml:space="preserve">Eng. Sarah Nakato, MSc Environmental Engineering, Licensed Environmental Engineer (Uganda Engineering and Technical Institute)</w:t>
            </w:r>
          </w:p>
        </w:tc>
      </w:tr>
      <w:tr>
        <w:tc>
          <w:tcPr/>
          <w:p>
            <w:pPr>
              <w:pStyle w:val="Compact"/>
              <w:jc w:val="left"/>
            </w:pPr>
            <w:r>
              <w:t xml:space="preserve">Currency</w:t>
            </w:r>
          </w:p>
        </w:tc>
        <w:tc>
          <w:tcPr/>
          <w:p>
            <w:pPr>
              <w:pStyle w:val="Compact"/>
              <w:jc w:val="left"/>
            </w:pPr>
            <w:r>
              <w:t xml:space="preserve">Uganda Shillings (UGX)</w:t>
            </w:r>
          </w:p>
        </w:tc>
      </w:tr>
    </w:tbl>
    <w:bookmarkStart w:id="22" w:name="X091f0dfb82768bdcc14fb07ea5eabec314d991f"/>
    <w:p>
      <w:pPr>
        <w:pStyle w:val="Heading3"/>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issued by GreenScape Environmental Consultants Ltd. in response to the request for professional</w:t>
      </w:r>
      <w:r>
        <w:t xml:space="preserve"> </w:t>
      </w:r>
      <w:r>
        <w:t xml:space="preserve">Environmental Engineer</w:t>
      </w:r>
      <w:r>
        <w:t xml:space="preserve"> </w:t>
      </w:r>
      <w:r>
        <w:t xml:space="preserve">services to be delivered within the</w:t>
      </w:r>
      <w:r>
        <w:t xml:space="preserve"> </w:t>
      </w:r>
      <w:r>
        <w:t xml:space="preserve">Uganda Kampala</w:t>
      </w:r>
      <w:r>
        <w:t xml:space="preserve"> </w:t>
      </w:r>
      <w:r>
        <w:t xml:space="preserve">metropolitan area. The purpose of this document is to provide a comprehensive, itemized breakdown of costs associated with the environmental impact assessment, compliance auditing, and remediation planning services that our licensed</w:t>
      </w:r>
      <w:r>
        <w:t xml:space="preserve"> </w:t>
      </w:r>
      <w:r>
        <w:t xml:space="preserve">Environmental Engineer</w:t>
      </w:r>
      <w:r>
        <w:t xml:space="preserve"> </w:t>
      </w:r>
      <w:r>
        <w:t xml:space="preserve">team will undertake on behalf of the Kampala Capital City Authority. All pricing in this</w:t>
      </w:r>
      <w:r>
        <w:t xml:space="preserve"> </w:t>
      </w:r>
      <w:r>
        <w:t xml:space="preserve">Quotation Estimate</w:t>
      </w:r>
      <w:r>
        <w:t xml:space="preserve"> </w:t>
      </w:r>
      <w:r>
        <w:t xml:space="preserve">reflects current market rates for environmental consulting in</w:t>
      </w:r>
      <w:r>
        <w:t xml:space="preserve"> </w:t>
      </w:r>
      <w:r>
        <w:t xml:space="preserve">Uganda Kampala</w:t>
      </w:r>
      <w:r>
        <w:t xml:space="preserve"> </w:t>
      </w:r>
      <w:r>
        <w:t xml:space="preserve">as of June 2025 and is subject to the terms and conditions outlined herein.</w:t>
      </w:r>
    </w:p>
    <w:bookmarkEnd w:id="22"/>
    <w:bookmarkStart w:id="23" w:name="Xf295acc3e1de01af9c2931e3414ac008807f668"/>
    <w:p>
      <w:pPr>
        <w:pStyle w:val="Heading3"/>
      </w:pPr>
      <w:r>
        <w:t xml:space="preserve">2. Scope of Work — Environmental Engineer Services</w:t>
      </w:r>
    </w:p>
    <w:p>
      <w:pPr>
        <w:pStyle w:val="FirstParagraph"/>
      </w:pPr>
      <w:r>
        <w:t xml:space="preserve">The</w:t>
      </w:r>
      <w:r>
        <w:t xml:space="preserve"> </w:t>
      </w:r>
      <w:r>
        <w:t xml:space="preserve">Environmental Engineer</w:t>
      </w:r>
      <w:r>
        <w:t xml:space="preserve"> </w:t>
      </w:r>
      <w:r>
        <w:t xml:space="preserve">services covered under this</w:t>
      </w:r>
      <w:r>
        <w:t xml:space="preserve"> </w:t>
      </w:r>
      <w:r>
        <w:t xml:space="preserve">Quotation Estimate</w:t>
      </w:r>
      <w:r>
        <w:t xml:space="preserve"> </w:t>
      </w:r>
      <w:r>
        <w:t xml:space="preserve">include, but are not limited to, the following deliverables to be executed in</w:t>
      </w:r>
      <w:r>
        <w:t xml:space="preserve"> </w:t>
      </w:r>
      <w:r>
        <w:t xml:space="preserve">Uganda Kampala</w:t>
      </w:r>
      <w:r>
        <w:t xml:space="preserve">:</w:t>
      </w:r>
    </w:p>
    <w:p>
      <w:pPr>
        <w:numPr>
          <w:ilvl w:val="0"/>
          <w:numId w:val="1001"/>
        </w:numPr>
        <w:pStyle w:val="Compact"/>
      </w:pPr>
      <w:r>
        <w:rPr>
          <w:bCs/>
          <w:b/>
        </w:rPr>
        <w:t xml:space="preserve">Environmental Impact Assessment (EIA):</w:t>
      </w:r>
      <w:r>
        <w:t xml:space="preserve"> </w:t>
      </w:r>
      <w:r>
        <w:t xml:space="preserve">A full-scope EIA for the proposed Ntinda Industrial Expansion Zone, conducted in accordance with the National Environment Management Act (Cap 153) and the guidelines issued by the National Environment Management Authority (NEMA) of Uganda. The</w:t>
      </w:r>
      <w:r>
        <w:t xml:space="preserve"> </w:t>
      </w:r>
      <w:r>
        <w:t xml:space="preserve">Environmental Engineer</w:t>
      </w:r>
      <w:r>
        <w:t xml:space="preserve"> </w:t>
      </w:r>
      <w:r>
        <w:t xml:space="preserve">will prepare the Terms of Reference, conduct baseline surveys, model air and water quality dispersion, and produce the final EIA report for NEMA review.</w:t>
      </w:r>
    </w:p>
    <w:p>
      <w:pPr>
        <w:numPr>
          <w:ilvl w:val="0"/>
          <w:numId w:val="1001"/>
        </w:numPr>
        <w:pStyle w:val="Compact"/>
      </w:pPr>
      <w:r>
        <w:rPr>
          <w:bCs/>
          <w:b/>
        </w:rPr>
        <w:t xml:space="preserve">Compliance Auditing:</w:t>
      </w:r>
      <w:r>
        <w:t xml:space="preserve"> </w:t>
      </w:r>
      <w:r>
        <w:t xml:space="preserve">Quarterly environmental compliance audits of 12 existing industrial facilities within the Kampala industrial corridor. The</w:t>
      </w:r>
      <w:r>
        <w:t xml:space="preserve"> </w:t>
      </w:r>
      <w:r>
        <w:t xml:space="preserve">Environmental Engineer</w:t>
      </w:r>
      <w:r>
        <w:t xml:space="preserve"> </w:t>
      </w:r>
      <w:r>
        <w:t xml:space="preserve">will verify adherence to effluent discharge standards (Uganda National Environment (Wastewater Discharge) Regulations, 2008), noise limits, and solid waste management protocols.</w:t>
      </w:r>
    </w:p>
    <w:p>
      <w:pPr>
        <w:numPr>
          <w:ilvl w:val="0"/>
          <w:numId w:val="1001"/>
        </w:numPr>
        <w:pStyle w:val="Compact"/>
      </w:pPr>
      <w:r>
        <w:rPr>
          <w:bCs/>
          <w:b/>
        </w:rPr>
        <w:t xml:space="preserve">Remediation Planning:</w:t>
      </w:r>
      <w:r>
        <w:t xml:space="preserve"> </w:t>
      </w:r>
      <w:r>
        <w:t xml:space="preserve">Development of a site-specific remediation plan for the contaminated Ntinda drainage channel, including soil and groundwater sampling, contaminant identification, and a 5-year phased remediation schedule.</w:t>
      </w:r>
    </w:p>
    <w:p>
      <w:pPr>
        <w:numPr>
          <w:ilvl w:val="0"/>
          <w:numId w:val="1001"/>
        </w:numPr>
        <w:pStyle w:val="Compact"/>
      </w:pPr>
      <w:r>
        <w:rPr>
          <w:bCs/>
          <w:b/>
        </w:rPr>
        <w:t xml:space="preserve">Environmental Monitoring Programme Design:</w:t>
      </w:r>
      <w:r>
        <w:t xml:space="preserve"> </w:t>
      </w:r>
      <w:r>
        <w:t xml:space="preserve">Design and implementation of a 12-month continuous environmental monitoring programme covering air quality (PM2.5, PM10, SO₂, NOₓ), surface water quality (BOD, COD, TSS, pH, heavy metals), and ambient noise levels across the</w:t>
      </w:r>
      <w:r>
        <w:t xml:space="preserve"> </w:t>
      </w:r>
      <w:r>
        <w:t xml:space="preserve">Uganda Kampala</w:t>
      </w:r>
      <w:r>
        <w:t xml:space="preserve"> </w:t>
      </w:r>
      <w:r>
        <w:t xml:space="preserve">project area.</w:t>
      </w:r>
    </w:p>
    <w:p>
      <w:pPr>
        <w:numPr>
          <w:ilvl w:val="0"/>
          <w:numId w:val="1001"/>
        </w:numPr>
        <w:pStyle w:val="Compact"/>
      </w:pPr>
      <w:r>
        <w:rPr>
          <w:bCs/>
          <w:b/>
        </w:rPr>
        <w:t xml:space="preserve">Stakeholder Engagement and Public Consultation:</w:t>
      </w:r>
      <w:r>
        <w:t xml:space="preserve"> </w:t>
      </w:r>
      <w:r>
        <w:t xml:space="preserve">Facilitation of at least three public consultation meetings with local communities in Ntinda, Kira, and Mukono to ensure transparency and compliance with the public participation requirements under Ugandan environmental law.</w:t>
      </w:r>
    </w:p>
    <w:p>
      <w:pPr>
        <w:numPr>
          <w:ilvl w:val="0"/>
          <w:numId w:val="1001"/>
        </w:numPr>
        <w:pStyle w:val="Compact"/>
      </w:pPr>
      <w:r>
        <w:rPr>
          <w:bCs/>
          <w:b/>
        </w:rPr>
        <w:t xml:space="preserve">Reporting and Regulatory Submission:</w:t>
      </w:r>
      <w:r>
        <w:t xml:space="preserve"> </w:t>
      </w:r>
      <w:r>
        <w:t xml:space="preserve">Preparation of all technical reports, monthly progress updates, and final regulatory submissions to NEMA, KCCA, and the Ministry of Water and Environment of Uganda.</w:t>
      </w:r>
    </w:p>
    <w:bookmarkEnd w:id="23"/>
    <w:bookmarkStart w:id="24" w:name="itemized-cost-breakdown"/>
    <w:p>
      <w:pPr>
        <w:pStyle w:val="Heading3"/>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Environmental Engineer Service</w:t>
            </w:r>
          </w:p>
        </w:tc>
        <w:tc>
          <w:tcPr/>
          <w:p>
            <w:pPr>
              <w:pStyle w:val="Compact"/>
              <w:jc w:val="left"/>
            </w:pPr>
            <w:r>
              <w:t xml:space="preserve">Duration / Qty</w:t>
            </w:r>
          </w:p>
        </w:tc>
        <w:tc>
          <w:tcPr/>
          <w:p>
            <w:pPr>
              <w:pStyle w:val="Compact"/>
              <w:jc w:val="left"/>
            </w:pPr>
            <w:r>
              <w:t xml:space="preserve">Unit Rate (UGX)</w:t>
            </w:r>
          </w:p>
        </w:tc>
        <w:tc>
          <w:tcPr/>
          <w:p>
            <w:pPr>
              <w:pStyle w:val="Compact"/>
              <w:jc w:val="left"/>
            </w:pPr>
            <w:r>
              <w:t xml:space="preserve">Total (UGX)</w:t>
            </w:r>
          </w:p>
        </w:tc>
      </w:tr>
      <w:tr>
        <w:tc>
          <w:tcPr/>
          <w:p>
            <w:pPr>
              <w:pStyle w:val="Compact"/>
              <w:jc w:val="left"/>
            </w:pPr>
            <w:r>
              <w:t xml:space="preserve">1</w:t>
            </w:r>
          </w:p>
        </w:tc>
        <w:tc>
          <w:tcPr/>
          <w:p>
            <w:pPr>
              <w:pStyle w:val="Compact"/>
              <w:jc w:val="left"/>
            </w:pPr>
            <w:r>
              <w:t xml:space="preserve">Environmental Impact Assessment — Full Scope (Ntinda Industrial Zone)</w:t>
            </w:r>
          </w:p>
        </w:tc>
        <w:tc>
          <w:tcPr/>
          <w:p>
            <w:pPr>
              <w:pStyle w:val="Compact"/>
              <w:jc w:val="left"/>
            </w:pPr>
            <w:r>
              <w:t xml:space="preserve">1 lot / 12 weeks</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2</w:t>
            </w:r>
          </w:p>
        </w:tc>
        <w:tc>
          <w:tcPr/>
          <w:p>
            <w:pPr>
              <w:pStyle w:val="Compact"/>
              <w:jc w:val="left"/>
            </w:pPr>
            <w:r>
              <w:t xml:space="preserve">Quarterly Compliance Audits — 12 Industrial Facilities</w:t>
            </w:r>
          </w:p>
        </w:tc>
        <w:tc>
          <w:tcPr/>
          <w:p>
            <w:pPr>
              <w:pStyle w:val="Compact"/>
              <w:jc w:val="left"/>
            </w:pPr>
            <w:r>
              <w:t xml:space="preserve">4 quarters / 12 months</w:t>
            </w:r>
          </w:p>
        </w:tc>
        <w:tc>
          <w:tcPr/>
          <w:p>
            <w:pPr>
              <w:pStyle w:val="Compact"/>
              <w:jc w:val="left"/>
            </w:pPr>
            <w:r>
              <w:t xml:space="preserve">12,800,000</w:t>
            </w:r>
          </w:p>
        </w:tc>
        <w:tc>
          <w:tcPr/>
          <w:p>
            <w:pPr>
              <w:pStyle w:val="Compact"/>
              <w:jc w:val="left"/>
            </w:pPr>
            <w:r>
              <w:t xml:space="preserve">51,200,000</w:t>
            </w:r>
          </w:p>
        </w:tc>
      </w:tr>
      <w:tr>
        <w:tc>
          <w:tcPr/>
          <w:p>
            <w:pPr>
              <w:pStyle w:val="Compact"/>
              <w:jc w:val="left"/>
            </w:pPr>
            <w:r>
              <w:t xml:space="preserve">3</w:t>
            </w:r>
          </w:p>
        </w:tc>
        <w:tc>
          <w:tcPr/>
          <w:p>
            <w:pPr>
              <w:pStyle w:val="Compact"/>
              <w:jc w:val="left"/>
            </w:pPr>
            <w:r>
              <w:t xml:space="preserve">Site Remediation Planning — Ntinda Drainage Channel</w:t>
            </w:r>
          </w:p>
        </w:tc>
        <w:tc>
          <w:tcPr/>
          <w:p>
            <w:pPr>
              <w:pStyle w:val="Compact"/>
              <w:jc w:val="left"/>
            </w:pPr>
            <w:r>
              <w:t xml:space="preserve">1 lot / 8 weeks</w:t>
            </w:r>
          </w:p>
        </w:tc>
        <w:tc>
          <w:tcPr/>
          <w:p>
            <w:pPr>
              <w:pStyle w:val="Compact"/>
              <w:jc w:val="left"/>
            </w:pPr>
            <w:r>
              <w:t xml:space="preserve">22,400,000</w:t>
            </w:r>
          </w:p>
        </w:tc>
        <w:tc>
          <w:tcPr/>
          <w:p>
            <w:pPr>
              <w:pStyle w:val="Compact"/>
              <w:jc w:val="left"/>
            </w:pPr>
            <w:r>
              <w:t xml:space="preserve">22,400,000</w:t>
            </w:r>
          </w:p>
        </w:tc>
      </w:tr>
      <w:tr>
        <w:tc>
          <w:tcPr/>
          <w:p>
            <w:pPr>
              <w:pStyle w:val="Compact"/>
              <w:jc w:val="left"/>
            </w:pPr>
            <w:r>
              <w:t xml:space="preserve">4</w:t>
            </w:r>
          </w:p>
        </w:tc>
        <w:tc>
          <w:tcPr/>
          <w:p>
            <w:pPr>
              <w:pStyle w:val="Compact"/>
              <w:jc w:val="left"/>
            </w:pPr>
            <w:r>
              <w:t xml:space="preserve">Environmental Monitoring Programme Design &amp; Implementation</w:t>
            </w:r>
          </w:p>
        </w:tc>
        <w:tc>
          <w:tcPr/>
          <w:p>
            <w:pPr>
              <w:pStyle w:val="Compact"/>
              <w:jc w:val="left"/>
            </w:pPr>
            <w:r>
              <w:t xml:space="preserve">12 months</w:t>
            </w:r>
          </w:p>
        </w:tc>
        <w:tc>
          <w:tcPr/>
          <w:p>
            <w:pPr>
              <w:pStyle w:val="Compact"/>
              <w:jc w:val="left"/>
            </w:pPr>
            <w:r>
              <w:t xml:space="preserve">35,600,000</w:t>
            </w:r>
          </w:p>
        </w:tc>
        <w:tc>
          <w:tcPr/>
          <w:p>
            <w:pPr>
              <w:pStyle w:val="Compact"/>
              <w:jc w:val="left"/>
            </w:pPr>
            <w:r>
              <w:t xml:space="preserve">35,600,000</w:t>
            </w:r>
          </w:p>
        </w:tc>
      </w:tr>
      <w:tr>
        <w:tc>
          <w:tcPr/>
          <w:p>
            <w:pPr>
              <w:pStyle w:val="Compact"/>
              <w:jc w:val="left"/>
            </w:pPr>
            <w:r>
              <w:t xml:space="preserve">5</w:t>
            </w:r>
          </w:p>
        </w:tc>
        <w:tc>
          <w:tcPr/>
          <w:p>
            <w:pPr>
              <w:pStyle w:val="Compact"/>
              <w:jc w:val="left"/>
            </w:pPr>
            <w:r>
              <w:t xml:space="preserve">Stakeholder Engagement &amp; Public Consultation (3 sessions)</w:t>
            </w:r>
          </w:p>
        </w:tc>
        <w:tc>
          <w:tcPr/>
          <w:p>
            <w:pPr>
              <w:pStyle w:val="Compact"/>
              <w:jc w:val="left"/>
            </w:pPr>
            <w:r>
              <w:t xml:space="preserve">3 sessions</w:t>
            </w:r>
          </w:p>
        </w:tc>
        <w:tc>
          <w:tcPr/>
          <w:p>
            <w:pPr>
              <w:pStyle w:val="Compact"/>
              <w:jc w:val="left"/>
            </w:pPr>
            <w:r>
              <w:t xml:space="preserve">4,200,000</w:t>
            </w:r>
          </w:p>
        </w:tc>
        <w:tc>
          <w:tcPr/>
          <w:p>
            <w:pPr>
              <w:pStyle w:val="Compact"/>
              <w:jc w:val="left"/>
            </w:pPr>
            <w:r>
              <w:t xml:space="preserve">12,600,000</w:t>
            </w:r>
          </w:p>
        </w:tc>
      </w:tr>
      <w:tr>
        <w:tc>
          <w:tcPr/>
          <w:p>
            <w:pPr>
              <w:pStyle w:val="Compact"/>
              <w:jc w:val="left"/>
            </w:pPr>
            <w:r>
              <w:t xml:space="preserve">6</w:t>
            </w:r>
          </w:p>
        </w:tc>
        <w:tc>
          <w:tcPr/>
          <w:p>
            <w:pPr>
              <w:pStyle w:val="Compact"/>
              <w:jc w:val="left"/>
            </w:pPr>
            <w:r>
              <w:t xml:space="preserve">Technical Reporting, Regulatory Submissions &amp; Project Management</w:t>
            </w:r>
          </w:p>
        </w:tc>
        <w:tc>
          <w:tcPr/>
          <w:p>
            <w:pPr>
              <w:pStyle w:val="Compact"/>
              <w:jc w:val="left"/>
            </w:pPr>
            <w:r>
              <w:t xml:space="preserve">12 months</w:t>
            </w:r>
          </w:p>
        </w:tc>
        <w:tc>
          <w:tcPr/>
          <w:p>
            <w:pPr>
              <w:pStyle w:val="Compact"/>
              <w:jc w:val="left"/>
            </w:pPr>
            <w:r>
              <w:t xml:space="preserve">18,900,000</w:t>
            </w:r>
          </w:p>
        </w:tc>
        <w:tc>
          <w:tcPr/>
          <w:p>
            <w:pPr>
              <w:pStyle w:val="Compact"/>
              <w:jc w:val="left"/>
            </w:pPr>
            <w:r>
              <w:t xml:space="preserve">18,900,000</w:t>
            </w:r>
          </w:p>
        </w:tc>
      </w:tr>
      <w:tr>
        <w:tc>
          <w:tcPr/>
          <w:p>
            <w:pPr>
              <w:pStyle w:val="Compact"/>
              <w:jc w:val="left"/>
            </w:pPr>
            <w:r>
              <w:t xml:space="preserve">7</w:t>
            </w:r>
          </w:p>
        </w:tc>
        <w:tc>
          <w:tcPr/>
          <w:p>
            <w:pPr>
              <w:pStyle w:val="Compact"/>
              <w:jc w:val="left"/>
            </w:pPr>
            <w:r>
              <w:t xml:space="preserve">Field Equipment, Laboratory Analysis &amp; Consumables</w:t>
            </w:r>
          </w:p>
        </w:tc>
        <w:tc>
          <w:tcPr/>
          <w:p>
            <w:pPr>
              <w:pStyle w:val="Compact"/>
              <w:jc w:val="left"/>
            </w:pPr>
            <w:r>
              <w:t xml:space="preserve">12 months</w:t>
            </w:r>
          </w:p>
        </w:tc>
        <w:tc>
          <w:tcPr/>
          <w:p>
            <w:pPr>
              <w:pStyle w:val="Compact"/>
              <w:jc w:val="left"/>
            </w:pPr>
            <w:r>
              <w:t xml:space="preserve">14,300,000</w:t>
            </w:r>
          </w:p>
        </w:tc>
        <w:tc>
          <w:tcPr/>
          <w:p>
            <w:pPr>
              <w:pStyle w:val="Compact"/>
              <w:jc w:val="left"/>
            </w:pPr>
            <w:r>
              <w:t xml:space="preserve">14,300,000</w:t>
            </w:r>
          </w:p>
        </w:tc>
      </w:tr>
      <w:tr>
        <w:tc>
          <w:tcPr/>
          <w:p>
            <w:pPr>
              <w:pStyle w:val="Compact"/>
              <w:jc w:val="left"/>
            </w:pPr>
            <w:r>
              <w:t xml:space="preserve">8</w:t>
            </w:r>
          </w:p>
        </w:tc>
        <w:tc>
          <w:tcPr/>
          <w:p>
            <w:pPr>
              <w:pStyle w:val="Compact"/>
              <w:jc w:val="left"/>
            </w:pPr>
            <w:r>
              <w:t xml:space="preserve">Travel, Logistics &amp; Local Transport within Uganda Kampala</w:t>
            </w:r>
          </w:p>
        </w:tc>
        <w:tc>
          <w:tcPr/>
          <w:p>
            <w:pPr>
              <w:pStyle w:val="Compact"/>
              <w:jc w:val="left"/>
            </w:pPr>
            <w:r>
              <w:t xml:space="preserve">12 months</w:t>
            </w:r>
          </w:p>
        </w:tc>
        <w:tc>
          <w:tcPr/>
          <w:p>
            <w:pPr>
              <w:pStyle w:val="Compact"/>
              <w:jc w:val="left"/>
            </w:pPr>
            <w:r>
              <w:t xml:space="preserve">6,700,000</w:t>
            </w:r>
          </w:p>
        </w:tc>
        <w:tc>
          <w:tcPr/>
          <w:p>
            <w:pPr>
              <w:pStyle w:val="Compact"/>
              <w:jc w:val="left"/>
            </w:pPr>
            <w:r>
              <w:t xml:space="preserve">6,700,000</w:t>
            </w:r>
          </w:p>
        </w:tc>
      </w:tr>
      <w:tr>
        <w:tc>
          <w:tcPr>
            <w:gridSpan w:val="4"/>
          </w:tcPr>
          <w:p>
            <w:pPr>
              <w:pStyle w:val="Compact"/>
              <w:jc w:val="right"/>
            </w:pPr>
            <w:r>
              <w:t xml:space="preserve">Subtotal (UGX)</w:t>
            </w:r>
          </w:p>
        </w:tc>
        <w:tc>
          <w:tcPr/>
          <w:p>
            <w:pPr>
              <w:pStyle w:val="Compact"/>
              <w:jc w:val="left"/>
            </w:pPr>
            <w:r>
              <w:t xml:space="preserve">210,200,000</w:t>
            </w:r>
          </w:p>
        </w:tc>
      </w:tr>
      <w:tr>
        <w:tc>
          <w:tcPr>
            <w:gridSpan w:val="4"/>
          </w:tcPr>
          <w:p>
            <w:pPr>
              <w:pStyle w:val="Compact"/>
              <w:jc w:val="right"/>
            </w:pPr>
            <w:r>
              <w:t xml:space="preserve">VAT @ 18% (Uganda)</w:t>
            </w:r>
          </w:p>
        </w:tc>
        <w:tc>
          <w:tcPr/>
          <w:p>
            <w:pPr>
              <w:pStyle w:val="Compact"/>
              <w:jc w:val="left"/>
            </w:pPr>
            <w:r>
              <w:t xml:space="preserve">37,836,000</w:t>
            </w:r>
          </w:p>
        </w:tc>
      </w:tr>
      <w:tr>
        <w:tc>
          <w:tcPr>
            <w:gridSpan w:val="4"/>
          </w:tcPr>
          <w:p>
            <w:pPr>
              <w:pStyle w:val="Compact"/>
              <w:jc w:val="right"/>
            </w:pPr>
            <w:r>
              <w:t xml:space="preserve">GRAND TOTAL (UGX)</w:t>
            </w:r>
          </w:p>
        </w:tc>
        <w:tc>
          <w:tcPr/>
          <w:p>
            <w:pPr>
              <w:pStyle w:val="Compact"/>
              <w:jc w:val="left"/>
            </w:pPr>
            <w:r>
              <w:t xml:space="preserve">248,036,000</w:t>
            </w:r>
          </w:p>
        </w:tc>
      </w:tr>
    </w:tbl>
    <w:p>
      <w:pPr>
        <w:pStyle w:val="BodyText"/>
      </w:pPr>
      <w:r>
        <w:rPr>
          <w:iCs/>
          <w:i/>
        </w:rPr>
        <w:t xml:space="preserve">Grand Total in words: Uganda Shillings Two Hundred and Forty-Eight Million, Thirty-Six Thousand only (UGX 248,036,000/=).</w:t>
      </w:r>
    </w:p>
    <w:bookmarkEnd w:id="24"/>
    <w:bookmarkStart w:id="25" w:name="terms-and-conditions"/>
    <w:p>
      <w:pPr>
        <w:pStyle w:val="Heading3"/>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After the expiry date, GreenScape Environmental Consultants Ltd. reserves the right to revise pricing due to market fluctuations in</w:t>
      </w:r>
      <w:r>
        <w:t xml:space="preserve"> </w:t>
      </w:r>
      <w:r>
        <w:t xml:space="preserve">Uganda Kampala</w:t>
      </w:r>
      <w:r>
        <w:t xml:space="preserve">.</w:t>
      </w:r>
    </w:p>
    <w:p>
      <w:pPr>
        <w:numPr>
          <w:ilvl w:val="0"/>
          <w:numId w:val="1002"/>
        </w:numPr>
        <w:pStyle w:val="Compact"/>
      </w:pPr>
      <w:r>
        <w:t xml:space="preserve">Payment terms: 30% advance mobilization upon contract signing; 40% upon completion of the EIA and remediation planning deliverables; 30% upon final project acceptance and submission of the closing report to NEMA.</w:t>
      </w:r>
    </w:p>
    <w:p>
      <w:pPr>
        <w:numPr>
          <w:ilvl w:val="0"/>
          <w:numId w:val="1002"/>
        </w:numPr>
        <w:pStyle w:val="Compact"/>
      </w:pPr>
      <w:r>
        <w:t xml:space="preserve">All invoices shall be payable within thirty (30) days of receipt. Late payments shall attract interest at the rate of 2% per month as stipulated under the Uganda Contracts Act.</w:t>
      </w:r>
    </w:p>
    <w:p>
      <w:pPr>
        <w:numPr>
          <w:ilvl w:val="0"/>
          <w:numId w:val="1002"/>
        </w:numPr>
        <w:pStyle w:val="Compact"/>
      </w:pPr>
      <w:r>
        <w:t xml:space="preserve">The</w:t>
      </w:r>
      <w:r>
        <w:t xml:space="preserve"> </w:t>
      </w:r>
      <w:r>
        <w:t xml:space="preserve">Environmental Engineer</w:t>
      </w:r>
      <w:r>
        <w:t xml:space="preserve"> </w:t>
      </w:r>
      <w:r>
        <w:t xml:space="preserve">services shall be performed in strict compliance with the National Environment Management Act (Cap 153), the Uganda National Environment (Wastewater Discharge) Regulations, 2008, and all applicable KCCA by-laws governing environmental management in</w:t>
      </w:r>
      <w:r>
        <w:t xml:space="preserve"> </w:t>
      </w:r>
      <w:r>
        <w:t xml:space="preserve">Uganda Kampala</w:t>
      </w:r>
      <w:r>
        <w:t xml:space="preserve">.</w:t>
      </w:r>
    </w:p>
    <w:p>
      <w:pPr>
        <w:numPr>
          <w:ilvl w:val="0"/>
          <w:numId w:val="1002"/>
        </w:numPr>
        <w:pStyle w:val="Compact"/>
      </w:pPr>
      <w:r>
        <w:t xml:space="preserve">GreenScape Environmental Consultants Ltd. shall maintain professional indemnity insurance of not less than UGX 500,000,000 for the duration of the engagement.</w:t>
      </w:r>
    </w:p>
    <w:p>
      <w:pPr>
        <w:numPr>
          <w:ilvl w:val="0"/>
          <w:numId w:val="1002"/>
        </w:numPr>
        <w:pStyle w:val="Compact"/>
      </w:pPr>
      <w:r>
        <w:t xml:space="preserve">Any variation in scope exceeding 10% of the total</w:t>
      </w:r>
      <w:r>
        <w:t xml:space="preserve"> </w:t>
      </w:r>
      <w:r>
        <w:t xml:space="preserve">Quotation Estimate</w:t>
      </w:r>
      <w:r>
        <w:t xml:space="preserve"> </w:t>
      </w:r>
      <w:r>
        <w:t xml:space="preserve">value shall require a written amendment signed by both parties before additional work commences.</w:t>
      </w:r>
    </w:p>
    <w:p>
      <w:pPr>
        <w:numPr>
          <w:ilvl w:val="0"/>
          <w:numId w:val="1002"/>
        </w:numPr>
        <w:pStyle w:val="Compact"/>
      </w:pPr>
      <w:r>
        <w:t xml:space="preserve">All data, reports, and deliverables produced under this engagement shall remain the property of the Kampala Capital City Authority upon full payment.</w:t>
      </w:r>
    </w:p>
    <w:p>
      <w:pPr>
        <w:numPr>
          <w:ilvl w:val="0"/>
          <w:numId w:val="1002"/>
        </w:numPr>
        <w:pStyle w:val="Compact"/>
      </w:pPr>
      <w:r>
        <w:t xml:space="preserve">Disputes arising from this</w:t>
      </w:r>
      <w:r>
        <w:t xml:space="preserve"> </w:t>
      </w:r>
      <w:r>
        <w:t xml:space="preserve">Quotation Estimate</w:t>
      </w:r>
      <w:r>
        <w:t xml:space="preserve"> </w:t>
      </w:r>
      <w:r>
        <w:t xml:space="preserve">or the resulting contract shall be resolved through mediation in Kampala, Uganda, in accordance with the Uganda Arbitration Act, 2000.</w:t>
      </w:r>
    </w:p>
    <w:bookmarkEnd w:id="25"/>
    <w:bookmarkStart w:id="26" w:name="acceptance-and-authorization"/>
    <w:p>
      <w:pPr>
        <w:pStyle w:val="Heading3"/>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scope of</w:t>
      </w:r>
      <w:r>
        <w:t xml:space="preserve"> </w:t>
      </w:r>
      <w:r>
        <w:t xml:space="preserve">Environmental Engineer</w:t>
      </w:r>
      <w:r>
        <w:t xml:space="preserve"> </w:t>
      </w:r>
      <w:r>
        <w:t xml:space="preserve">services, pricing, and terms as outlined for the</w:t>
      </w:r>
      <w:r>
        <w:t xml:space="preserve"> </w:t>
      </w:r>
      <w:r>
        <w:t xml:space="preserve">Uganda Kampala</w:t>
      </w:r>
      <w:r>
        <w:t xml:space="preserve"> </w:t>
      </w:r>
      <w:r>
        <w:t xml:space="preserve">project. This signature constitutes a binding acceptance of the</w:t>
      </w:r>
      <w:r>
        <w:t xml:space="preserve"> </w:t>
      </w:r>
      <w:r>
        <w:t xml:space="preserve">Quotation Estimate</w:t>
      </w:r>
      <w:r>
        <w:t xml:space="preserve"> </w:t>
      </w:r>
      <w:r>
        <w:t xml:space="preserve">and authorizes GreenScape Environmental Consultants Ltd. to commence mobilization.</w:t>
      </w:r>
    </w:p>
    <w:p>
      <w:pPr>
        <w:pStyle w:val="BodyText"/>
      </w:pPr>
      <w:r>
        <w:rPr>
          <w:bCs/>
          <w:b/>
        </w:rPr>
        <w:t xml:space="preserve">For: GreenScape Environmental Consultants Ltd.</w:t>
      </w:r>
    </w:p>
    <w:p>
      <w:pPr>
        <w:pStyle w:val="BodyText"/>
      </w:pPr>
      <w:r>
        <w:t xml:space="preserve">Eng. Sarah Nakato, MSc</w:t>
      </w:r>
    </w:p>
    <w:p>
      <w:pPr>
        <w:pStyle w:val="BodyText"/>
      </w:pPr>
      <w:r>
        <w:t xml:space="preserve">Licensed Environmental Engineer</w:t>
      </w:r>
    </w:p>
    <w:p>
      <w:pPr>
        <w:pStyle w:val="BodyText"/>
      </w:pPr>
      <w:r>
        <w:t xml:space="preserve">Date: _______________</w:t>
      </w:r>
    </w:p>
    <w:p>
      <w:pPr>
        <w:pStyle w:val="BodyText"/>
      </w:pPr>
      <w:r>
        <w:rPr>
          <w:bCs/>
          <w:b/>
        </w:rPr>
        <w:t xml:space="preserve">For: Kampala Capital City Authority</w:t>
      </w:r>
    </w:p>
    <w:p>
      <w:pPr>
        <w:pStyle w:val="BodyText"/>
      </w:pPr>
      <w:r>
        <w:t xml:space="preserve">Environmental Management Division</w:t>
      </w:r>
    </w:p>
    <w:p>
      <w:pPr>
        <w:pStyle w:val="BodyText"/>
      </w:pPr>
      <w:r>
        <w:t xml:space="preserve">Name: _______________</w:t>
      </w:r>
    </w:p>
    <w:p>
      <w:pPr>
        <w:pStyle w:val="BodyText"/>
      </w:pPr>
      <w:r>
        <w:t xml:space="preserve">Date: _______________</w:t>
      </w:r>
    </w:p>
    <w:p>
      <w:pPr>
        <w:pStyle w:val="BodyText"/>
      </w:pPr>
      <w:r>
        <w:t xml:space="preserve">This Quotation Estimate document was prepared by GreenScape Environmental Consultants Ltd., Kampala, Uganda. All Environmental Engineer services are delivered in compliance with Ugandan environmental legislation and NEMA regulations. For queries regarding this Quotation Estimate, please contact our office at +256 772 345 678 or info@greenscape-ug.com. Document Ref: GSEC/QE/2025/0342.</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Environmental Engineer Services - Uganda Kampala</dc:title>
  <dc:creator/>
  <dc:language>en</dc:language>
  <cp:keywords/>
  <dcterms:created xsi:type="dcterms:W3CDTF">2026-10-10T03:57:38Z</dcterms:created>
  <dcterms:modified xsi:type="dcterms:W3CDTF">2026-10-10T03:57:38Z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