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GreenSolutions Environmental Consulting LLC</w:t>
      </w:r>
    </w:p>
    <w:p>
      <w:pPr>
        <w:pStyle w:val="BodyText"/>
      </w:pPr>
      <w:r>
        <w:t xml:space="preserve">Office 1204, Level 12, Burj Khalifa, Downtown Dubai, United Arab Emirates</w:t>
      </w:r>
    </w:p>
    <w:p>
      <w:pPr>
        <w:pStyle w:val="BodyText"/>
      </w:pPr>
      <w:r>
        <w:t xml:space="preserve">Tel: +971 4 555 0123 | Email: quotes@greensolutions-ae.com</w:t>
      </w:r>
    </w:p>
    <w:p>
      <w:pPr>
        <w:pStyle w:val="BodyText"/>
      </w:pPr>
      <w:r>
        <w:t xml:space="preserve">Trade License No: 1045872 | TRN: 100458720100003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(until 15 July 2025)</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Prepared For</w:t>
            </w:r>
          </w:p>
        </w:tc>
        <w:tc>
          <w:tcPr/>
          <w:p>
            <w:pPr>
              <w:pStyle w:val="Compact"/>
              <w:jc w:val="left"/>
            </w:pPr>
            <w:r>
              <w:t xml:space="preserve">Al Maktoum Development Group, P.O. Box 4521, Dubai, United Arab Emirates</w:t>
            </w:r>
          </w:p>
        </w:tc>
        <w:tc>
          <w:tcPr/>
          <w:p>
            <w:pPr>
              <w:pStyle w:val="Compact"/>
              <w:jc w:val="left"/>
            </w:pPr>
            <w:r>
              <w:t xml:space="preserve">Project Reference</w:t>
            </w:r>
          </w:p>
        </w:tc>
        <w:tc>
          <w:tcPr/>
          <w:p>
            <w:pPr>
              <w:pStyle w:val="Compact"/>
              <w:jc w:val="left"/>
            </w:pPr>
            <w:r>
              <w:t xml:space="preserve">MDG-ENV-2025-031</w:t>
            </w:r>
          </w:p>
        </w:tc>
      </w:tr>
      <w:tr>
        <w:tc>
          <w:tcPr/>
          <w:p>
            <w:pPr>
              <w:pStyle w:val="Compact"/>
              <w:jc w:val="left"/>
            </w:pPr>
            <w:r>
              <w:t xml:space="preserve">Service Category</w:t>
            </w:r>
          </w:p>
        </w:tc>
        <w:tc>
          <w:tcPr>
            <w:gridSpan w:val="3"/>
          </w:tcPr>
          <w:p>
            <w:pPr>
              <w:pStyle w:val="Compact"/>
              <w:jc w:val="left"/>
            </w:pPr>
            <w:r>
              <w:t xml:space="preserve">Environmental Engineer</w:t>
            </w:r>
            <w:r>
              <w:t xml:space="preserve"> </w:t>
            </w:r>
            <w:r>
              <w:t xml:space="preserve">– Full-Spectrum Environmental Compliance &amp; Impact Assessment</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GreenSolutions Environmental Consulting LLC to Al Maktoum Development Group in relation to the engagement of a qualified</w:t>
      </w:r>
      <w:r>
        <w:t xml:space="preserve"> </w:t>
      </w:r>
      <w:r>
        <w:t xml:space="preserve">Environmental Engineer</w:t>
      </w:r>
      <w:r>
        <w:t xml:space="preserve"> </w:t>
      </w:r>
      <w:r>
        <w:t xml:space="preserve">to deliver comprehensive environmental compliance, impact assessment, and sustainability advisory services for the proposed mixed-use development project located in the Dubai South Free Zone,</w:t>
      </w:r>
      <w:r>
        <w:t xml:space="preserve"> </w:t>
      </w:r>
      <w:r>
        <w:t xml:space="preserve">United Arab Emirates Dubai</w:t>
      </w:r>
      <w:r>
        <w:t xml:space="preserve">. This document outlines the full scope of professional services, associated costs, project timelines, and contractual terms governing the engagement. All pricing is quoted in United Arab Emirates Dirhams (AED) and is subject to the validity period stated above.</w:t>
      </w:r>
    </w:p>
    <w:bookmarkEnd w:id="21"/>
    <w:bookmarkStart w:id="22" w:name="Xf295acc3e1de01af9c2931e3414ac008807f668"/>
    <w:p>
      <w:pPr>
        <w:pStyle w:val="Heading2"/>
      </w:pPr>
      <w:r>
        <w:t xml:space="preserve">2. Scope of Work – Environmental Engineer Services</w:t>
      </w:r>
    </w:p>
    <w:p>
      <w:pPr>
        <w:pStyle w:val="FirstParagraph"/>
      </w:pPr>
      <w:r>
        <w:t xml:space="preserve">The appointed</w:t>
      </w:r>
      <w:r>
        <w:t xml:space="preserve"> </w:t>
      </w:r>
      <w:r>
        <w:t xml:space="preserve">Environmental Engineer</w:t>
      </w:r>
      <w:r>
        <w:t xml:space="preserve"> </w:t>
      </w:r>
      <w:r>
        <w:t xml:space="preserve">shall provide the following professional services in full compliance with the regulations of the Dubai Municipality, the Department of Climate Change and Environment (DCCE), the UAE Federal Law No. 61 of 2007 on Environmental Protection, and all applicable municipal bylaws governing construction and industrial activities in</w:t>
      </w:r>
      <w:r>
        <w:t xml:space="preserve"> </w:t>
      </w:r>
      <w:r>
        <w:t xml:space="preserve">United Arab Emirates Dubai</w:t>
      </w:r>
      <w:r>
        <w:t xml:space="preserve">:</w:t>
      </w:r>
    </w:p>
    <w:p>
      <w:pPr>
        <w:numPr>
          <w:ilvl w:val="0"/>
          <w:numId w:val="1001"/>
        </w:numPr>
        <w:pStyle w:val="Compact"/>
      </w:pPr>
      <w:r>
        <w:rPr>
          <w:bCs/>
          <w:b/>
        </w:rPr>
        <w:t xml:space="preserve">Environmental Impact Assessment (EIA):</w:t>
      </w:r>
      <w:r>
        <w:t xml:space="preserve"> </w:t>
      </w:r>
      <w:r>
        <w:t xml:space="preserve">Preparation and submission of a comprehensive EIA report covering air quality, noise pollution, water resources, soil contamination, biodiversity, and waste management impacts of the proposed development. The report shall conform to the DCCE EIA guidelines and be submitted for regulatory approval prior to construction commencement.</w:t>
      </w:r>
    </w:p>
    <w:p>
      <w:pPr>
        <w:numPr>
          <w:ilvl w:val="0"/>
          <w:numId w:val="1001"/>
        </w:numPr>
        <w:pStyle w:val="Compact"/>
      </w:pPr>
      <w:r>
        <w:rPr>
          <w:bCs/>
          <w:b/>
        </w:rPr>
        <w:t xml:space="preserve">Environmental Permitting and Licensing:</w:t>
      </w:r>
      <w:r>
        <w:t xml:space="preserve"> </w:t>
      </w:r>
      <w:r>
        <w:t xml:space="preserve">Facilitation and management of all environmental permits required by the Dubai Municipality, the Dubai Electricity and Water Authority (DEWA), and the Dubai Civil Defence. This includes the Environmental Compliance Certificate and the No-Objection Certificate (NOC) from the relevant environmental authorities in</w:t>
      </w:r>
      <w:r>
        <w:t xml:space="preserve"> </w:t>
      </w:r>
      <w:r>
        <w:t xml:space="preserve">United Arab Emirates Dubai</w:t>
      </w:r>
      <w:r>
        <w:t xml:space="preserve">.</w:t>
      </w:r>
    </w:p>
    <w:p>
      <w:pPr>
        <w:numPr>
          <w:ilvl w:val="0"/>
          <w:numId w:val="1001"/>
        </w:numPr>
        <w:pStyle w:val="Compact"/>
      </w:pPr>
      <w:r>
        <w:rPr>
          <w:bCs/>
          <w:b/>
        </w:rPr>
        <w:t xml:space="preserve">Construction Phase Environmental Monitoring:</w:t>
      </w:r>
      <w:r>
        <w:t xml:space="preserve"> </w:t>
      </w:r>
      <w:r>
        <w:t xml:space="preserve">Deployment of continuous monitoring stations for particulate matter (PM10, PM2.5), noise levels (Leq, Lmax), and dust suppression effectiveness throughout the construction period. Monthly monitoring reports shall be submitted to the client and the Dubai Municipality Environmental Department.</w:t>
      </w:r>
    </w:p>
    <w:p>
      <w:pPr>
        <w:numPr>
          <w:ilvl w:val="0"/>
          <w:numId w:val="1001"/>
        </w:numPr>
        <w:pStyle w:val="Compact"/>
      </w:pPr>
      <w:r>
        <w:rPr>
          <w:bCs/>
          <w:b/>
        </w:rPr>
        <w:t xml:space="preserve">Waste Management and Disposal Plan:</w:t>
      </w:r>
      <w:r>
        <w:t xml:space="preserve"> </w:t>
      </w:r>
      <w:r>
        <w:t xml:space="preserve">Development of a site-specific waste management plan ensuring compliance with Dubai Municipality waste regulations, including segregation, storage, transport, and disposal protocols for construction debris, hazardous materials, and general refuse.</w:t>
      </w:r>
    </w:p>
    <w:p>
      <w:pPr>
        <w:numPr>
          <w:ilvl w:val="0"/>
          <w:numId w:val="1001"/>
        </w:numPr>
        <w:pStyle w:val="Compact"/>
      </w:pPr>
      <w:r>
        <w:rPr>
          <w:bCs/>
          <w:b/>
        </w:rPr>
        <w:t xml:space="preserve">Water and Energy Sustainability Audit:</w:t>
      </w:r>
      <w:r>
        <w:t xml:space="preserve"> </w:t>
      </w:r>
      <w:r>
        <w:t xml:space="preserve">Conducting a baseline audit of water consumption and energy usage patterns, with recommendations for green building certification (Estidama Pearl Rating / DIBS) alignment. The</w:t>
      </w:r>
      <w:r>
        <w:t xml:space="preserve"> </w:t>
      </w:r>
      <w:r>
        <w:t xml:space="preserve">Environmental Engineer</w:t>
      </w:r>
      <w:r>
        <w:t xml:space="preserve"> </w:t>
      </w:r>
      <w:r>
        <w:t xml:space="preserve">shall propose water recycling systems, greywater treatment, and solar energy integration strategies.</w:t>
      </w:r>
    </w:p>
    <w:p>
      <w:pPr>
        <w:numPr>
          <w:ilvl w:val="0"/>
          <w:numId w:val="1001"/>
        </w:numPr>
        <w:pStyle w:val="Compact"/>
      </w:pPr>
      <w:r>
        <w:rPr>
          <w:bCs/>
          <w:b/>
        </w:rPr>
        <w:t xml:space="preserve">Post-Construction Environmental Compliance Audit:</w:t>
      </w:r>
      <w:r>
        <w:t xml:space="preserve"> </w:t>
      </w:r>
      <w:r>
        <w:t xml:space="preserve">A final verification audit confirming that all environmental mitigation measures outlined in the approved EIA have been implemented. A compliance certificate shall be issued upon satisfactory completion.</w:t>
      </w:r>
    </w:p>
    <w:p>
      <w:pPr>
        <w:numPr>
          <w:ilvl w:val="0"/>
          <w:numId w:val="1001"/>
        </w:numPr>
        <w:pStyle w:val="Compact"/>
      </w:pPr>
      <w:r>
        <w:rPr>
          <w:bCs/>
          <w:b/>
        </w:rPr>
        <w:t xml:space="preserve">Regulatory Liaison and Reporting:</w:t>
      </w:r>
      <w:r>
        <w:t xml:space="preserve"> </w:t>
      </w:r>
      <w:r>
        <w:t xml:space="preserve">Ongoing communication with Dubai Municipality, DCCE, and other relevant governmental bodies in</w:t>
      </w:r>
      <w:r>
        <w:t xml:space="preserve"> </w:t>
      </w:r>
      <w:r>
        <w:t xml:space="preserve">United Arab Emirates Dubai</w:t>
      </w:r>
      <w:r>
        <w:t xml:space="preserve"> </w:t>
      </w:r>
      <w:r>
        <w:t xml:space="preserve">to ensure continuous regulatory compliance throughout the project lifecycle.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Environmental Impact Assessment (EIA) Report Preparation &amp; Submission</w:t>
            </w:r>
          </w:p>
        </w:tc>
        <w:tc>
          <w:tcPr/>
          <w:p>
            <w:pPr>
              <w:pStyle w:val="Compact"/>
              <w:jc w:val="left"/>
            </w:pPr>
            <w:r>
              <w:t xml:space="preserve">8 weeks</w:t>
            </w:r>
          </w:p>
        </w:tc>
        <w:tc>
          <w:tcPr/>
          <w:p>
            <w:pPr>
              <w:pStyle w:val="Compact"/>
              <w:jc w:val="left"/>
            </w:pPr>
            <w:r>
              <w:t xml:space="preserve">—</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Environmental Permitting, Licensing &amp; NOC Facilitation</w:t>
            </w:r>
          </w:p>
        </w:tc>
        <w:tc>
          <w:tcPr/>
          <w:p>
            <w:pPr>
              <w:pStyle w:val="Compact"/>
              <w:jc w:val="left"/>
            </w:pPr>
            <w:r>
              <w:t xml:space="preserve">6 weeks</w:t>
            </w:r>
          </w:p>
        </w:tc>
        <w:tc>
          <w:tcPr/>
          <w:p>
            <w:pPr>
              <w:pStyle w:val="Compact"/>
              <w:jc w:val="left"/>
            </w:pPr>
            <w:r>
              <w:t xml:space="preserve">—</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Construction Phase Environmental Monitoring (Air, Noise, Dust)</w:t>
            </w:r>
          </w:p>
        </w:tc>
        <w:tc>
          <w:tcPr/>
          <w:p>
            <w:pPr>
              <w:pStyle w:val="Compact"/>
              <w:jc w:val="left"/>
            </w:pPr>
            <w:r>
              <w:t xml:space="preserve">18 months</w:t>
            </w:r>
          </w:p>
        </w:tc>
        <w:tc>
          <w:tcPr/>
          <w:p>
            <w:pPr>
              <w:pStyle w:val="Compact"/>
              <w:jc w:val="left"/>
            </w:pPr>
            <w:r>
              <w:t xml:space="preserve">12,500 / month</w:t>
            </w:r>
          </w:p>
        </w:tc>
        <w:tc>
          <w:tcPr/>
          <w:p>
            <w:pPr>
              <w:pStyle w:val="Compact"/>
              <w:jc w:val="left"/>
            </w:pPr>
            <w:r>
              <w:t xml:space="preserve">225,000.00</w:t>
            </w:r>
          </w:p>
        </w:tc>
      </w:tr>
      <w:tr>
        <w:tc>
          <w:tcPr/>
          <w:p>
            <w:pPr>
              <w:pStyle w:val="Compact"/>
              <w:jc w:val="left"/>
            </w:pPr>
            <w:r>
              <w:t xml:space="preserve">4</w:t>
            </w:r>
          </w:p>
        </w:tc>
        <w:tc>
          <w:tcPr/>
          <w:p>
            <w:pPr>
              <w:pStyle w:val="Compact"/>
              <w:jc w:val="left"/>
            </w:pPr>
            <w:r>
              <w:t xml:space="preserve">Waste Management &amp; Disposal Plan Development</w:t>
            </w:r>
          </w:p>
        </w:tc>
        <w:tc>
          <w:tcPr/>
          <w:p>
            <w:pPr>
              <w:pStyle w:val="Compact"/>
              <w:jc w:val="left"/>
            </w:pPr>
            <w:r>
              <w:t xml:space="preserve">4 weeks</w:t>
            </w:r>
          </w:p>
        </w:tc>
        <w:tc>
          <w:tcPr/>
          <w:p>
            <w:pPr>
              <w:pStyle w:val="Compact"/>
              <w:jc w:val="left"/>
            </w:pPr>
            <w:r>
              <w:t xml:space="preserve">—</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Water &amp; Energy Sustainability Audit (Estidama Alignment)</w:t>
            </w:r>
          </w:p>
        </w:tc>
        <w:tc>
          <w:tcPr/>
          <w:p>
            <w:pPr>
              <w:pStyle w:val="Compact"/>
              <w:jc w:val="left"/>
            </w:pPr>
            <w:r>
              <w:t xml:space="preserve">6 weeks</w:t>
            </w:r>
          </w:p>
        </w:tc>
        <w:tc>
          <w:tcPr/>
          <w:p>
            <w:pPr>
              <w:pStyle w:val="Compact"/>
              <w:jc w:val="left"/>
            </w:pPr>
            <w:r>
              <w:t xml:space="preserve">—</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Post-Construction Environmental Compliance Audit &amp; Certification</w:t>
            </w:r>
          </w:p>
        </w:tc>
        <w:tc>
          <w:tcPr/>
          <w:p>
            <w:pPr>
              <w:pStyle w:val="Compact"/>
              <w:jc w:val="left"/>
            </w:pPr>
            <w:r>
              <w:t xml:space="preserve">3 weeks</w:t>
            </w:r>
          </w:p>
        </w:tc>
        <w:tc>
          <w:tcPr/>
          <w:p>
            <w:pPr>
              <w:pStyle w:val="Compact"/>
              <w:jc w:val="left"/>
            </w:pPr>
            <w:r>
              <w:t xml:space="preserve">—</w:t>
            </w:r>
          </w:p>
        </w:tc>
        <w:tc>
          <w:tcPr/>
          <w:p>
            <w:pPr>
              <w:pStyle w:val="Compact"/>
              <w:jc w:val="left"/>
            </w:pPr>
            <w:r>
              <w:t xml:space="preserve">55,000.00</w:t>
            </w:r>
          </w:p>
        </w:tc>
      </w:tr>
      <w:tr>
        <w:tc>
          <w:tcPr/>
          <w:p>
            <w:pPr>
              <w:pStyle w:val="Compact"/>
              <w:jc w:val="left"/>
            </w:pPr>
            <w:r>
              <w:t xml:space="preserve">7</w:t>
            </w:r>
          </w:p>
        </w:tc>
        <w:tc>
          <w:tcPr/>
          <w:p>
            <w:pPr>
              <w:pStyle w:val="Compact"/>
              <w:jc w:val="left"/>
            </w:pPr>
            <w:r>
              <w:t xml:space="preserve">Regulatory Liaison, Reporting &amp; Ongoing Advisory Support</w:t>
            </w:r>
          </w:p>
        </w:tc>
        <w:tc>
          <w:tcPr/>
          <w:p>
            <w:pPr>
              <w:pStyle w:val="Compact"/>
              <w:jc w:val="left"/>
            </w:pPr>
            <w:r>
              <w:t xml:space="preserve">24 months</w:t>
            </w:r>
          </w:p>
        </w:tc>
        <w:tc>
          <w:tcPr/>
          <w:p>
            <w:pPr>
              <w:pStyle w:val="Compact"/>
              <w:jc w:val="left"/>
            </w:pPr>
            <w:r>
              <w:t xml:space="preserve">8,000 / month</w:t>
            </w:r>
          </w:p>
        </w:tc>
        <w:tc>
          <w:tcPr/>
          <w:p>
            <w:pPr>
              <w:pStyle w:val="Compact"/>
              <w:jc w:val="left"/>
            </w:pPr>
            <w:r>
              <w:t xml:space="preserve">192,000.00</w:t>
            </w:r>
          </w:p>
        </w:tc>
      </w:tr>
      <w:tr>
        <w:tc>
          <w:tcPr/>
          <w:p>
            <w:pPr>
              <w:pStyle w:val="Compact"/>
              <w:jc w:val="left"/>
            </w:pPr>
            <w:r>
              <w:t xml:space="preserve">8</w:t>
            </w:r>
          </w:p>
        </w:tc>
        <w:tc>
          <w:tcPr/>
          <w:p>
            <w:pPr>
              <w:pStyle w:val="Compact"/>
              <w:jc w:val="left"/>
            </w:pPr>
            <w:r>
              <w:t xml:space="preserve">Travel, Field Surveys &amp; Laboratory Analysis (within Dubai, UAE)</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38,000.00</w:t>
            </w:r>
          </w:p>
        </w:tc>
      </w:tr>
      <w:tr>
        <w:tc>
          <w:tcPr>
            <w:gridSpan w:val="4"/>
          </w:tcPr>
          <w:p>
            <w:pPr>
              <w:pStyle w:val="Compact"/>
              <w:jc w:val="left"/>
            </w:pPr>
            <w:r>
              <w:t xml:space="preserve">Subtotal (AED)</w:t>
            </w:r>
          </w:p>
        </w:tc>
        <w:tc>
          <w:tcPr/>
          <w:p>
            <w:pPr>
              <w:pStyle w:val="Compact"/>
              <w:jc w:val="left"/>
            </w:pPr>
            <w:r>
              <w:t xml:space="preserve">910,000.00</w:t>
            </w:r>
          </w:p>
        </w:tc>
      </w:tr>
      <w:tr>
        <w:tc>
          <w:tcPr>
            <w:gridSpan w:val="4"/>
          </w:tcPr>
          <w:p>
            <w:pPr>
              <w:pStyle w:val="Compact"/>
              <w:jc w:val="left"/>
            </w:pPr>
            <w:r>
              <w:t xml:space="preserve">VAT @ 5% (United Arab Emirates)</w:t>
            </w:r>
          </w:p>
        </w:tc>
        <w:tc>
          <w:tcPr/>
          <w:p>
            <w:pPr>
              <w:pStyle w:val="Compact"/>
              <w:jc w:val="left"/>
            </w:pPr>
            <w:r>
              <w:t xml:space="preserve">45,500.00</w:t>
            </w:r>
          </w:p>
        </w:tc>
      </w:tr>
      <w:tr>
        <w:tc>
          <w:tcPr>
            <w:gridSpan w:val="4"/>
          </w:tcPr>
          <w:p>
            <w:pPr>
              <w:pStyle w:val="Compact"/>
              <w:jc w:val="left"/>
            </w:pPr>
            <w:r>
              <w:rPr>
                <w:bCs/>
                <w:b/>
              </w:rPr>
              <w:t xml:space="preserve">Grand Total (AED)</w:t>
            </w:r>
          </w:p>
        </w:tc>
        <w:tc>
          <w:tcPr/>
          <w:p>
            <w:pPr>
              <w:pStyle w:val="Compact"/>
              <w:jc w:val="left"/>
            </w:pPr>
            <w:r>
              <w:rPr>
                <w:bCs/>
                <w:b/>
              </w:rPr>
              <w:t xml:space="preserve">955,500.00</w:t>
            </w:r>
          </w:p>
        </w:tc>
      </w:tr>
    </w:tbl>
    <w:bookmarkEnd w:id="23"/>
    <w:bookmarkStart w:id="24" w:name="project-timeline"/>
    <w:p>
      <w:pPr>
        <w:pStyle w:val="Heading2"/>
      </w:pPr>
      <w:r>
        <w:t xml:space="preserve">4. Project Timeline</w:t>
      </w:r>
    </w:p>
    <w:p>
      <w:pPr>
        <w:pStyle w:val="FirstParagraph"/>
      </w:pPr>
      <w:r>
        <w:t xml:space="preserve">The total estimated duration for the</w:t>
      </w:r>
      <w:r>
        <w:t xml:space="preserve"> </w:t>
      </w:r>
      <w:r>
        <w:t xml:space="preserve">Environmental Engineer</w:t>
      </w:r>
      <w:r>
        <w:t xml:space="preserve"> </w:t>
      </w:r>
      <w:r>
        <w:t xml:space="preserve">engagement, from the date of contract execution to the issuance of the final compliance certificate, is approximately</w:t>
      </w:r>
      <w:r>
        <w:t xml:space="preserve"> </w:t>
      </w:r>
      <w:r>
        <w:rPr>
          <w:bCs/>
          <w:b/>
        </w:rPr>
        <w:t xml:space="preserve">24 months</w:t>
      </w:r>
      <w:r>
        <w:t xml:space="preserve">. The detailed milestone schedule, including EIA submission deadlines, monitoring commencement dates, and final audit windows, shall be agreed upon in a separate Project Execution Plan within 14 days of contract signing. All timelines are aligned with the construction schedule provided by Al Maktoum Development Group and the regulatory review periods of the Dubai Municipality and DCCE in</w:t>
      </w:r>
      <w:r>
        <w:t xml:space="preserve"> </w:t>
      </w:r>
      <w:r>
        <w:t xml:space="preserve">United Arab Emirates Dubai</w:t>
      </w:r>
      <w:r>
        <w:t xml:space="preserv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without prior notice.</w:t>
      </w:r>
    </w:p>
    <w:p>
      <w:pPr>
        <w:pStyle w:val="BodyText"/>
      </w:pPr>
      <w:r>
        <w:rPr>
          <w:bCs/>
          <w:b/>
        </w:rPr>
        <w:t xml:space="preserve">5.2</w:t>
      </w:r>
      <w:r>
        <w:t xml:space="preserve"> </w:t>
      </w:r>
      <w:r>
        <w:t xml:space="preserve">Payment Terms: 30% advance upon contract signing; 40% upon successful submission and approval of the EIA report by the Dubai Municipality; 20% upon completion of the construction phase monitoring; 10% upon issuance of the final Post-Construction Compliance Certificate. All payments are due within fourteen (14) days of invoice date.</w:t>
      </w:r>
    </w:p>
    <w:p>
      <w:pPr>
        <w:pStyle w:val="BodyText"/>
      </w:pPr>
      <w:r>
        <w:rPr>
          <w:bCs/>
          <w:b/>
        </w:rPr>
        <w:t xml:space="preserve">5.3</w:t>
      </w:r>
      <w:r>
        <w:t xml:space="preserve"> </w:t>
      </w:r>
      <w:r>
        <w:t xml:space="preserve">The</w:t>
      </w:r>
      <w:r>
        <w:t xml:space="preserve"> </w:t>
      </w:r>
      <w:r>
        <w:t xml:space="preserve">Environmental Engineer</w:t>
      </w:r>
      <w:r>
        <w:t xml:space="preserve"> </w:t>
      </w:r>
      <w:r>
        <w:t xml:space="preserve">shall hold a valid UAE Professional License issued by the Dubai Municipality and shall maintain professional indemnity insurance of not less than AED 5,000,000 for the duration of the engagement.</w:t>
      </w:r>
    </w:p>
    <w:p>
      <w:pPr>
        <w:pStyle w:val="BodyText"/>
      </w:pPr>
      <w:r>
        <w:rPr>
          <w:bCs/>
          <w:b/>
        </w:rPr>
        <w:t xml:space="preserve">5.4</w:t>
      </w:r>
      <w:r>
        <w:t xml:space="preserve"> </w:t>
      </w:r>
      <w:r>
        <w:t xml:space="preserve">All work shall be performed in strict adherence to UAE Federal Law No. 61 of 2007, Dubai Municipality Environmental Regulations, and the DCCE Environmental Impact Assessment Guidelines. Any non-compliance resulting from the Environmental Engineer's negligence shall be remedied at the Engineer's own cost.</w:t>
      </w:r>
    </w:p>
    <w:p>
      <w:pPr>
        <w:pStyle w:val="BodyText"/>
      </w:pPr>
      <w:r>
        <w:rPr>
          <w:bCs/>
          <w:b/>
        </w:rPr>
        <w:t xml:space="preserve">5.5</w:t>
      </w:r>
      <w:r>
        <w:t xml:space="preserve"> </w:t>
      </w:r>
      <w:r>
        <w:t xml:space="preserve">The client shall provide timely access to the project site in Dubai South Free Zone,</w:t>
      </w:r>
      <w:r>
        <w:t xml:space="preserve"> </w:t>
      </w:r>
      <w:r>
        <w:t xml:space="preserve">United Arab Emirates Dubai</w:t>
      </w:r>
      <w:r>
        <w:t xml:space="preserve">, and shall supply all architectural drawings, engineering plans, and project specifications required for the environmental assessment within five (5) business days of request.</w:t>
      </w:r>
    </w:p>
    <w:p>
      <w:pPr>
        <w:pStyle w:val="BodyText"/>
      </w:pPr>
      <w:r>
        <w:rPr>
          <w:bCs/>
          <w:b/>
        </w:rPr>
        <w:t xml:space="preserve">5.6</w:t>
      </w:r>
      <w:r>
        <w:t xml:space="preserve"> </w:t>
      </w:r>
      <w:r>
        <w:t xml:space="preserve">Any changes to the scope of work beyond the items listed in Section 3 shall be subject to a supplementary</w:t>
      </w:r>
      <w:r>
        <w:t xml:space="preserve"> </w:t>
      </w:r>
      <w:r>
        <w:t xml:space="preserve">Quotation Estimate</w:t>
      </w:r>
      <w:r>
        <w:t xml:space="preserve"> </w:t>
      </w:r>
      <w:r>
        <w:t xml:space="preserve">and mutual written agreement prior to execution.</w:t>
      </w:r>
    </w:p>
    <w:p>
      <w:pPr>
        <w:pStyle w:val="BodyText"/>
      </w:pPr>
      <w:r>
        <w:rPr>
          <w:bCs/>
          <w:b/>
        </w:rPr>
        <w:t xml:space="preserve">5.7</w:t>
      </w:r>
      <w:r>
        <w:t xml:space="preserve"> </w:t>
      </w:r>
      <w:r>
        <w:t xml:space="preserve">Disputes arising from this engagement shall be resolved through arbitration in Dubai in accordance with the rules of the Dubai International Arbitration Centre (DIAC).</w:t>
      </w:r>
    </w:p>
    <w:p>
      <w:pPr>
        <w:pStyle w:val="BodyText"/>
      </w:pPr>
      <w:r>
        <w:rPr>
          <w:bCs/>
          <w:b/>
        </w:rPr>
        <w:t xml:space="preserve">5.8</w:t>
      </w:r>
      <w:r>
        <w:t xml:space="preserve"> </w:t>
      </w: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Environmental Engineer</w:t>
      </w:r>
      <w:r>
        <w:t xml:space="preserve"> </w:t>
      </w:r>
      <w:r>
        <w:t xml:space="preserve">services in</w:t>
      </w:r>
      <w:r>
        <w:t xml:space="preserve"> </w:t>
      </w:r>
      <w:r>
        <w:t xml:space="preserve">United Arab Emirates Dubai</w:t>
      </w:r>
      <w:r>
        <w:t xml:space="preserve">.</w:t>
      </w:r>
    </w:p>
    <w:p>
      <w:pPr>
        <w:pStyle w:val="BodyText"/>
      </w:pPr>
      <w:r>
        <w:rPr>
          <w:bCs/>
          <w:b/>
        </w:rPr>
        <w:t xml:space="preserve">For and on behalf of:</w:t>
      </w:r>
      <w:r>
        <w:br/>
      </w:r>
      <w:r>
        <w:t xml:space="preserve">GreenSolutions Environmental Consulting LLC</w:t>
      </w:r>
    </w:p>
    <w:p>
      <w:pPr>
        <w:pStyle w:val="BodyText"/>
      </w:pPr>
      <w:r>
        <w:t xml:space="preserve">Name: Eng. Khalid Al Rashidi</w:t>
      </w:r>
      <w:r>
        <w:br/>
      </w:r>
      <w:r>
        <w:t xml:space="preserve">Title: Principal Environmental Engineer</w:t>
      </w:r>
      <w:r>
        <w:br/>
      </w:r>
      <w:r>
        <w:t xml:space="preserve">Signature &amp; Company Stamp</w:t>
      </w:r>
      <w:r>
        <w:br/>
      </w:r>
      <w:r>
        <w:t xml:space="preserve">Date: _______________</w:t>
      </w:r>
    </w:p>
    <w:p>
      <w:pPr>
        <w:pStyle w:val="BodyText"/>
      </w:pPr>
      <w:r>
        <w:rPr>
          <w:bCs/>
          <w:b/>
        </w:rPr>
        <w:t xml:space="preserve">For and on behalf of:</w:t>
      </w:r>
      <w:r>
        <w:br/>
      </w:r>
      <w:r>
        <w:t xml:space="preserve">Al Maktoum Development Group</w:t>
      </w:r>
    </w:p>
    <w:p>
      <w:pPr>
        <w:pStyle w:val="BodyText"/>
      </w:pPr>
      <w:r>
        <w:t xml:space="preserve">Name: _________________________</w:t>
      </w:r>
      <w:r>
        <w:br/>
      </w:r>
      <w:r>
        <w:t xml:space="preserve">Title: _________________________</w:t>
      </w:r>
      <w:r>
        <w:br/>
      </w:r>
      <w:r>
        <w:t xml:space="preserve">Signature &amp; Company Stamp</w:t>
      </w:r>
      <w:r>
        <w:br/>
      </w:r>
      <w:r>
        <w:t xml:space="preserve">Date: _______________</w:t>
      </w:r>
    </w:p>
    <w:p>
      <w:pPr>
        <w:pStyle w:val="BodyText"/>
      </w:pPr>
      <w:r>
        <w:t xml:space="preserve">This Quotation Estimate is the property of GreenSolutions Environmental Consulting LLC. Unauthorized reproduction or distribution is prohibited. All services are to be delivered in United Arab Emirates Dubai in compliance with applicable federal and municipal environmental regulations. Quotation Estimate No. QE-2025-00847.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United Arab Emirates Dubai</dc:title>
  <dc:creator/>
  <dc:language>en</dc:language>
  <cp:keywords/>
  <dcterms:created xsi:type="dcterms:W3CDTF">2026-10-10T01:06:33Z</dcterms:created>
  <dcterms:modified xsi:type="dcterms:W3CDTF">2026-10-10T01:06:33Z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