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greenscape-environmental-consulting-inc."/>
    <w:p>
      <w:pPr>
        <w:pStyle w:val="Heading1"/>
      </w:pPr>
      <w:r>
        <w:t xml:space="preserve">GreenScape Environmental Consulting, Inc.</w:t>
      </w:r>
    </w:p>
    <w:p>
      <w:pPr>
        <w:pStyle w:val="FirstParagraph"/>
      </w:pPr>
      <w:r>
        <w:t xml:space="preserve">1200 Market Street, Suite 4500, San Francisco, CA 94102, United States</w:t>
      </w:r>
    </w:p>
    <w:p>
      <w:pPr>
        <w:pStyle w:val="BodyText"/>
      </w:pPr>
      <w:r>
        <w:t xml:space="preserve">Phone: (415) 555-0187  |  Email: estimates@greenscape-env.com  |  CA License #C-28471</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QTE-2025-SF-0472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Bay Area Municipal Development Authority</w:t>
            </w:r>
          </w:p>
        </w:tc>
        <w:tc>
          <w:tcPr/>
          <w:p>
            <w:pPr>
              <w:pStyle w:val="Compact"/>
              <w:jc w:val="left"/>
            </w:pPr>
            <w:r>
              <w:t xml:space="preserve">Project Location:</w:t>
            </w:r>
          </w:p>
        </w:tc>
        <w:tc>
          <w:tcPr/>
          <w:p>
            <w:pPr>
              <w:pStyle w:val="Compact"/>
              <w:jc w:val="left"/>
            </w:pPr>
            <w:r>
              <w:t xml:space="preserve">United States San Francisco, California</w:t>
            </w:r>
          </w:p>
        </w:tc>
      </w:tr>
      <w:tr>
        <w:tc>
          <w:tcPr/>
          <w:p>
            <w:pPr>
              <w:pStyle w:val="Compact"/>
              <w:jc w:val="left"/>
            </w:pPr>
            <w:r>
              <w:t xml:space="preserve">Prepared By:</w:t>
            </w:r>
          </w:p>
        </w:tc>
        <w:tc>
          <w:tcPr/>
          <w:p>
            <w:pPr>
              <w:pStyle w:val="Compact"/>
              <w:jc w:val="left"/>
            </w:pPr>
            <w:r>
              <w:t xml:space="preserve">Dr. Elena Vasquez, P.E., P.G. – Lead Environmental Engineer</w:t>
            </w:r>
          </w:p>
        </w:tc>
        <w:tc>
          <w:tcPr/>
          <w:p>
            <w:pPr>
              <w:pStyle w:val="Compact"/>
              <w:jc w:val="left"/>
            </w:pPr>
            <w:r>
              <w:t xml:space="preserve">Contact:</w:t>
            </w:r>
          </w:p>
        </w:tc>
        <w:tc>
          <w:tcPr/>
          <w:p>
            <w:pPr>
              <w:pStyle w:val="Compact"/>
              <w:jc w:val="left"/>
            </w:pPr>
            <w:r>
              <w:t xml:space="preserve">(415) 555-0187</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GreenScape Environmental Consulting, Inc. to the Bay Area Municipal Development Authority in connection with the proposed waterfront redevelopment project located in the Embarcadero district of</w:t>
      </w:r>
      <w:r>
        <w:t xml:space="preserve"> </w:t>
      </w:r>
      <w:r>
        <w:t xml:space="preserve">United States San Francisco</w:t>
      </w:r>
      <w:r>
        <w:t xml:space="preserve">. The purpose of this document is to provide a comprehensive, itemized cost breakdown for the professional services of a licensed</w:t>
      </w:r>
      <w:r>
        <w:t xml:space="preserve"> </w:t>
      </w:r>
      <w:r>
        <w:t xml:space="preserve">Environmental Engineer</w:t>
      </w:r>
      <w:r>
        <w:t xml:space="preserve"> </w:t>
      </w:r>
      <w:r>
        <w:t xml:space="preserve">and supporting technical staff required to complete all environmental compliance, assessment, and mitigation activities associated with the project.</w:t>
      </w:r>
    </w:p>
    <w:p>
      <w:pPr>
        <w:pStyle w:val="BodyText"/>
      </w:pPr>
      <w:r>
        <w:t xml:space="preserve">The</w:t>
      </w:r>
      <w:r>
        <w:t xml:space="preserve"> </w:t>
      </w:r>
      <w:r>
        <w:t xml:space="preserve">Environmental Engineer</w:t>
      </w:r>
      <w:r>
        <w:t xml:space="preserve"> </w:t>
      </w:r>
      <w:r>
        <w:t xml:space="preserve">services outlined in this</w:t>
      </w:r>
      <w:r>
        <w:t xml:space="preserve"> </w:t>
      </w:r>
      <w:r>
        <w:t xml:space="preserve">Quotation Estimate</w:t>
      </w:r>
      <w:r>
        <w:t xml:space="preserve"> </w:t>
      </w:r>
      <w:r>
        <w:t xml:space="preserve">are designed to satisfy all applicable federal, state, and local regulatory requirements, including but not limited to the California Environmental Quality Act (CEQA), the National Environmental Policy Act (NEPA), the Clean Water Act, the Clean Air Act, and the San Francisco Planning Code environmental provisions. All work will be performed in strict accordance with the professional standards established by the California Board for Professional Engineers, Land Surveyors, and Geologists (BPELG).</w:t>
      </w:r>
    </w:p>
    <w:p>
      <w:pPr>
        <w:pStyle w:val="BodyText"/>
      </w:pPr>
      <w:r>
        <w:t xml:space="preserve">2. Detailed Scope of Environmental Engineer Services</w:t>
      </w:r>
    </w:p>
    <w:p>
      <w:pPr>
        <w:pStyle w:val="BodyText"/>
      </w:pPr>
      <w:r>
        <w:t xml:space="preserve">The</w:t>
      </w:r>
      <w:r>
        <w:t xml:space="preserve"> </w:t>
      </w:r>
      <w:r>
        <w:t xml:space="preserve">Environmental Engineer</w:t>
      </w:r>
      <w:r>
        <w:t xml:space="preserve"> </w:t>
      </w:r>
      <w:r>
        <w:t xml:space="preserve">engaged under this</w:t>
      </w:r>
      <w:r>
        <w:t xml:space="preserve"> </w:t>
      </w:r>
      <w:r>
        <w:t xml:space="preserve">Quotation Estimate</w:t>
      </w:r>
      <w:r>
        <w:t xml:space="preserve"> </w:t>
      </w:r>
      <w:r>
        <w:t xml:space="preserve">will perform the following professional services in</w:t>
      </w:r>
      <w:r>
        <w:t xml:space="preserve"> </w:t>
      </w:r>
      <w:r>
        <w:t xml:space="preserve">United States San Francisco</w:t>
      </w:r>
      <w:r>
        <w:t xml:space="preserve">:</w:t>
      </w:r>
    </w:p>
    <w:p>
      <w:pPr>
        <w:numPr>
          <w:ilvl w:val="0"/>
          <w:numId w:val="1001"/>
        </w:numPr>
        <w:pStyle w:val="Compact"/>
      </w:pPr>
      <w:r>
        <w:rPr>
          <w:bCs/>
          <w:b/>
        </w:rPr>
        <w:t xml:space="preserve">Phase I and Phase II Environmental Site Assessments:</w:t>
      </w:r>
      <w:r>
        <w:t xml:space="preserve"> </w:t>
      </w:r>
      <w:r>
        <w:t xml:space="preserve">Comprehensive investigation of soil, groundwater, and surface water conditions at the project site, including historical land use review, sampling, laboratory analysis, and contaminant source identification.</w:t>
      </w:r>
    </w:p>
    <w:p>
      <w:pPr>
        <w:numPr>
          <w:ilvl w:val="0"/>
          <w:numId w:val="1001"/>
        </w:numPr>
        <w:pStyle w:val="Compact"/>
      </w:pPr>
      <w:r>
        <w:rPr>
          <w:bCs/>
          <w:b/>
        </w:rPr>
        <w:t xml:space="preserve">CEQA Environmental Impact Report (EIR) Preparation:</w:t>
      </w:r>
      <w:r>
        <w:t xml:space="preserve"> </w:t>
      </w:r>
      <w:r>
        <w:t xml:space="preserve">Full preparation of the Environmental Impact Report required under California law, including Initial Study, Draft EIR, Final EIR, and response to public comments, with the</w:t>
      </w:r>
      <w:r>
        <w:t xml:space="preserve"> </w:t>
      </w:r>
      <w:r>
        <w:t xml:space="preserve">Environmental Engineer</w:t>
      </w:r>
      <w:r>
        <w:t xml:space="preserve"> </w:t>
      </w:r>
      <w:r>
        <w:t xml:space="preserve">serving as the lead technical author for all environmental chapters.</w:t>
      </w:r>
    </w:p>
    <w:p>
      <w:pPr>
        <w:numPr>
          <w:ilvl w:val="0"/>
          <w:numId w:val="1001"/>
        </w:numPr>
        <w:pStyle w:val="Compact"/>
      </w:pPr>
      <w:r>
        <w:rPr>
          <w:bCs/>
          <w:b/>
        </w:rPr>
        <w:t xml:space="preserve">Stormwater and Water Quality Management:</w:t>
      </w:r>
      <w:r>
        <w:t xml:space="preserve"> </w:t>
      </w:r>
      <w:r>
        <w:t xml:space="preserve">Design and permitting of the Construction General Permit (CGP) and post-construction stormwater management facilities in compliance with the San Francisco Regional Water Quality Control Board requirements.</w:t>
      </w:r>
    </w:p>
    <w:p>
      <w:pPr>
        <w:numPr>
          <w:ilvl w:val="0"/>
          <w:numId w:val="1001"/>
        </w:numPr>
        <w:pStyle w:val="Compact"/>
      </w:pPr>
      <w:r>
        <w:rPr>
          <w:bCs/>
          <w:b/>
        </w:rPr>
        <w:t xml:space="preserve">Air Quality and Emissions Analysis:</w:t>
      </w:r>
      <w:r>
        <w:t xml:space="preserve"> </w:t>
      </w:r>
      <w:r>
        <w:t xml:space="preserve">Quantitative assessment of construction and operational air emissions, including greenhouse gas inventory, with mitigation strategies aligned to the San Francisco Climate Action Plan.</w:t>
      </w:r>
    </w:p>
    <w:p>
      <w:pPr>
        <w:numPr>
          <w:ilvl w:val="0"/>
          <w:numId w:val="1001"/>
        </w:numPr>
        <w:pStyle w:val="Compact"/>
      </w:pPr>
      <w:r>
        <w:rPr>
          <w:bCs/>
          <w:b/>
        </w:rPr>
        <w:t xml:space="preserve">Wetlands and Habitat Impact Assessment:</w:t>
      </w:r>
      <w:r>
        <w:t xml:space="preserve"> </w:t>
      </w:r>
      <w:r>
        <w:t xml:space="preserve">Identification and delineation of jurisdictional wetlands, streams, and sensitive habitats within the project area, including coordination with the U.S. Army Corps of Engineers and the California Department of Fish and Wildlife.</w:t>
      </w:r>
    </w:p>
    <w:p>
      <w:pPr>
        <w:numPr>
          <w:ilvl w:val="0"/>
          <w:numId w:val="1001"/>
        </w:numPr>
        <w:pStyle w:val="Compact"/>
      </w:pPr>
      <w:r>
        <w:rPr>
          <w:bCs/>
          <w:b/>
        </w:rPr>
        <w:t xml:space="preserve">Noise Impact Assessment:</w:t>
      </w:r>
      <w:r>
        <w:t xml:space="preserve"> </w:t>
      </w:r>
      <w:r>
        <w:t xml:space="preserve">Prediction of construction and operational noise levels in accordance with the San Francisco Noise Ordinance, with recommended mitigation measures.</w:t>
      </w:r>
    </w:p>
    <w:p>
      <w:pPr>
        <w:numPr>
          <w:ilvl w:val="0"/>
          <w:numId w:val="1001"/>
        </w:numPr>
        <w:pStyle w:val="Compact"/>
      </w:pPr>
      <w:r>
        <w:rPr>
          <w:bCs/>
          <w:b/>
        </w:rPr>
        <w:t xml:space="preserve">Regulatory Permitting and Agency Coordination:</w:t>
      </w:r>
      <w:r>
        <w:t xml:space="preserve"> </w:t>
      </w:r>
      <w:r>
        <w:t xml:space="preserve">Management of all environmental permit applications, public hearings, and interagency coordination specific to the</w:t>
      </w:r>
      <w:r>
        <w:t xml:space="preserve"> </w:t>
      </w:r>
      <w:r>
        <w:t xml:space="preserve">United States San Francisco</w:t>
      </w:r>
      <w:r>
        <w:t xml:space="preserve"> </w:t>
      </w:r>
      <w:r>
        <w:t xml:space="preserve">regulatory environment.</w:t>
      </w:r>
    </w:p>
    <w:p>
      <w:pPr>
        <w:numPr>
          <w:ilvl w:val="0"/>
          <w:numId w:val="1001"/>
        </w:numPr>
        <w:pStyle w:val="Compact"/>
      </w:pPr>
      <w:r>
        <w:rPr>
          <w:bCs/>
          <w:b/>
        </w:rPr>
        <w:t xml:space="preserve">Construction Phase Environmental Monitoring:</w:t>
      </w:r>
      <w:r>
        <w:t xml:space="preserve"> </w:t>
      </w:r>
      <w:r>
        <w:t xml:space="preserve">On-site oversight by the</w:t>
      </w:r>
      <w:r>
        <w:t xml:space="preserve"> </w:t>
      </w:r>
      <w:r>
        <w:t xml:space="preserve">Environmental Engineer</w:t>
      </w:r>
      <w:r>
        <w:t xml:space="preserve"> </w:t>
      </w:r>
      <w:r>
        <w:t xml:space="preserve">during all construction activities to ensure compliance with approved mitigation measures and permit conditions.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Environmental Engineer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Phase I &amp; Phase II Environmental Site Assessment – Lead Environmental Engineer supervision, field sampling, and laboratory coordination</w:t>
            </w:r>
          </w:p>
        </w:tc>
        <w:tc>
          <w:tcPr/>
          <w:p>
            <w:pPr>
              <w:pStyle w:val="Compact"/>
              <w:jc w:val="left"/>
            </w:pPr>
            <w:r>
              <w:t xml:space="preserve">1 lot</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Weeks 1–6</w:t>
            </w:r>
          </w:p>
        </w:tc>
      </w:tr>
      <w:tr>
        <w:tc>
          <w:tcPr/>
          <w:p>
            <w:pPr>
              <w:pStyle w:val="Compact"/>
              <w:jc w:val="left"/>
            </w:pPr>
            <w:r>
              <w:t xml:space="preserve">2</w:t>
            </w:r>
          </w:p>
        </w:tc>
        <w:tc>
          <w:tcPr/>
          <w:p>
            <w:pPr>
              <w:pStyle w:val="Compact"/>
              <w:jc w:val="left"/>
            </w:pPr>
            <w:r>
              <w:t xml:space="preserve">CEQA Environmental Impact Report – Full preparation, review, and public comment response by the Environmental Engineer team</w:t>
            </w:r>
          </w:p>
        </w:tc>
        <w:tc>
          <w:tcPr/>
          <w:p>
            <w:pPr>
              <w:pStyle w:val="Compact"/>
              <w:jc w:val="left"/>
            </w:pPr>
            <w:r>
              <w:t xml:space="preserve">1 lot</w:t>
            </w:r>
          </w:p>
        </w:tc>
        <w:tc>
          <w:tcPr/>
          <w:p>
            <w:pPr>
              <w:pStyle w:val="Compact"/>
              <w:jc w:val="left"/>
            </w:pPr>
            <w:r>
              <w:t xml:space="preserve">$127,000.00</w:t>
            </w:r>
          </w:p>
        </w:tc>
        <w:tc>
          <w:tcPr/>
          <w:p>
            <w:pPr>
              <w:pStyle w:val="Compact"/>
              <w:jc w:val="left"/>
            </w:pPr>
            <w:r>
              <w:t xml:space="preserve">$127,000.00</w:t>
            </w:r>
          </w:p>
        </w:tc>
        <w:tc>
          <w:tcPr/>
          <w:p>
            <w:pPr>
              <w:pStyle w:val="Compact"/>
              <w:jc w:val="left"/>
            </w:pPr>
            <w:r>
              <w:t xml:space="preserve">Weeks 4–22</w:t>
            </w:r>
          </w:p>
        </w:tc>
      </w:tr>
      <w:tr>
        <w:tc>
          <w:tcPr/>
          <w:p>
            <w:pPr>
              <w:pStyle w:val="Compact"/>
              <w:jc w:val="left"/>
            </w:pPr>
            <w:r>
              <w:t xml:space="preserve">3</w:t>
            </w:r>
          </w:p>
        </w:tc>
        <w:tc>
          <w:tcPr/>
          <w:p>
            <w:pPr>
              <w:pStyle w:val="Compact"/>
              <w:jc w:val="left"/>
            </w:pPr>
            <w:r>
              <w:t xml:space="preserve">Stormwater &amp; Water Quality Management Plan – Design, CGP application, and post-construction BMP design</w:t>
            </w:r>
          </w:p>
        </w:tc>
        <w:tc>
          <w:tcPr/>
          <w:p>
            <w:pPr>
              <w:pStyle w:val="Compact"/>
              <w:jc w:val="left"/>
            </w:pPr>
            <w:r>
              <w:t xml:space="preserve">1 lot</w:t>
            </w:r>
          </w:p>
        </w:tc>
        <w:tc>
          <w:tcPr/>
          <w:p>
            <w:pPr>
              <w:pStyle w:val="Compact"/>
              <w:jc w:val="left"/>
            </w:pPr>
            <w:r>
              <w:t xml:space="preserve">$34,200.00</w:t>
            </w:r>
          </w:p>
        </w:tc>
        <w:tc>
          <w:tcPr/>
          <w:p>
            <w:pPr>
              <w:pStyle w:val="Compact"/>
              <w:jc w:val="left"/>
            </w:pPr>
            <w:r>
              <w:t xml:space="preserve">$34,200.00</w:t>
            </w:r>
          </w:p>
        </w:tc>
        <w:tc>
          <w:tcPr/>
          <w:p>
            <w:pPr>
              <w:pStyle w:val="Compact"/>
              <w:jc w:val="left"/>
            </w:pPr>
            <w:r>
              <w:t xml:space="preserve">Weeks 8–14</w:t>
            </w:r>
          </w:p>
        </w:tc>
      </w:tr>
      <w:tr>
        <w:tc>
          <w:tcPr/>
          <w:p>
            <w:pPr>
              <w:pStyle w:val="Compact"/>
              <w:jc w:val="left"/>
            </w:pPr>
            <w:r>
              <w:t xml:space="preserve">4</w:t>
            </w:r>
          </w:p>
        </w:tc>
        <w:tc>
          <w:tcPr/>
          <w:p>
            <w:pPr>
              <w:pStyle w:val="Compact"/>
              <w:jc w:val="left"/>
            </w:pPr>
            <w:r>
              <w:t xml:space="preserve">Air Quality &amp; Greenhouse Gas Emissions Analysis – Modeling, reporting, and mitigation strategy development</w:t>
            </w:r>
          </w:p>
        </w:tc>
        <w:tc>
          <w:tcPr/>
          <w:p>
            <w:pPr>
              <w:pStyle w:val="Compact"/>
              <w:jc w:val="left"/>
            </w:pPr>
            <w:r>
              <w:t xml:space="preserve">1 lot</w:t>
            </w:r>
          </w:p>
        </w:tc>
        <w:tc>
          <w:tcPr/>
          <w:p>
            <w:pPr>
              <w:pStyle w:val="Compact"/>
              <w:jc w:val="left"/>
            </w:pPr>
            <w:r>
              <w:t xml:space="preserve">$22,800.00</w:t>
            </w:r>
          </w:p>
        </w:tc>
        <w:tc>
          <w:tcPr/>
          <w:p>
            <w:pPr>
              <w:pStyle w:val="Compact"/>
              <w:jc w:val="left"/>
            </w:pPr>
            <w:r>
              <w:t xml:space="preserve">$22,800.00</w:t>
            </w:r>
          </w:p>
        </w:tc>
        <w:tc>
          <w:tcPr/>
          <w:p>
            <w:pPr>
              <w:pStyle w:val="Compact"/>
              <w:jc w:val="left"/>
            </w:pPr>
            <w:r>
              <w:t xml:space="preserve">Weeks 10–16</w:t>
            </w:r>
          </w:p>
        </w:tc>
      </w:tr>
      <w:tr>
        <w:tc>
          <w:tcPr/>
          <w:p>
            <w:pPr>
              <w:pStyle w:val="Compact"/>
              <w:jc w:val="left"/>
            </w:pPr>
            <w:r>
              <w:t xml:space="preserve">5</w:t>
            </w:r>
          </w:p>
        </w:tc>
        <w:tc>
          <w:tcPr/>
          <w:p>
            <w:pPr>
              <w:pStyle w:val="Compact"/>
              <w:jc w:val="left"/>
            </w:pPr>
            <w:r>
              <w:t xml:space="preserve">Wetlands, Streams &amp; Habitat Delineation – Field survey, mapping, and agency coordination in United States San Francisco</w:t>
            </w:r>
          </w:p>
        </w:tc>
        <w:tc>
          <w:tcPr/>
          <w:p>
            <w:pPr>
              <w:pStyle w:val="Compact"/>
              <w:jc w:val="left"/>
            </w:pPr>
            <w:r>
              <w:t xml:space="preserve">1 lot</w:t>
            </w:r>
          </w:p>
        </w:tc>
        <w:tc>
          <w:tcPr/>
          <w:p>
            <w:pPr>
              <w:pStyle w:val="Compact"/>
              <w:jc w:val="left"/>
            </w:pPr>
            <w:r>
              <w:t xml:space="preserve">$29,600.00</w:t>
            </w:r>
          </w:p>
        </w:tc>
        <w:tc>
          <w:tcPr/>
          <w:p>
            <w:pPr>
              <w:pStyle w:val="Compact"/>
              <w:jc w:val="left"/>
            </w:pPr>
            <w:r>
              <w:t xml:space="preserve">$29,600.00</w:t>
            </w:r>
          </w:p>
        </w:tc>
        <w:tc>
          <w:tcPr/>
          <w:p>
            <w:pPr>
              <w:pStyle w:val="Compact"/>
              <w:jc w:val="left"/>
            </w:pPr>
            <w:r>
              <w:t xml:space="preserve">Weeks 6–12</w:t>
            </w:r>
          </w:p>
        </w:tc>
      </w:tr>
      <w:tr>
        <w:tc>
          <w:tcPr/>
          <w:p>
            <w:pPr>
              <w:pStyle w:val="Compact"/>
              <w:jc w:val="left"/>
            </w:pPr>
            <w:r>
              <w:t xml:space="preserve">6</w:t>
            </w:r>
          </w:p>
        </w:tc>
        <w:tc>
          <w:tcPr/>
          <w:p>
            <w:pPr>
              <w:pStyle w:val="Compact"/>
              <w:jc w:val="left"/>
            </w:pPr>
            <w:r>
              <w:t xml:space="preserve">Noise Impact Assessment &amp; Mitigation Plan – Modeling per San Francisco Noise Ordinance</w:t>
            </w:r>
          </w:p>
        </w:tc>
        <w:tc>
          <w:tcPr/>
          <w:p>
            <w:pPr>
              <w:pStyle w:val="Compact"/>
              <w:jc w:val="left"/>
            </w:pPr>
            <w:r>
              <w:t xml:space="preserve">1 lot</w:t>
            </w:r>
          </w:p>
        </w:tc>
        <w:tc>
          <w:tcPr/>
          <w:p>
            <w:pPr>
              <w:pStyle w:val="Compact"/>
              <w:jc w:val="left"/>
            </w:pPr>
            <w:r>
              <w:t xml:space="preserve">$14,500.00</w:t>
            </w:r>
          </w:p>
        </w:tc>
        <w:tc>
          <w:tcPr/>
          <w:p>
            <w:pPr>
              <w:pStyle w:val="Compact"/>
              <w:jc w:val="left"/>
            </w:pPr>
            <w:r>
              <w:t xml:space="preserve">$14,500.00</w:t>
            </w:r>
          </w:p>
        </w:tc>
        <w:tc>
          <w:tcPr/>
          <w:p>
            <w:pPr>
              <w:pStyle w:val="Compact"/>
              <w:jc w:val="left"/>
            </w:pPr>
            <w:r>
              <w:t xml:space="preserve">Weeks 12–16</w:t>
            </w:r>
          </w:p>
        </w:tc>
      </w:tr>
      <w:tr>
        <w:tc>
          <w:tcPr/>
          <w:p>
            <w:pPr>
              <w:pStyle w:val="Compact"/>
              <w:jc w:val="left"/>
            </w:pPr>
            <w:r>
              <w:t xml:space="preserve">7</w:t>
            </w:r>
          </w:p>
        </w:tc>
        <w:tc>
          <w:tcPr/>
          <w:p>
            <w:pPr>
              <w:pStyle w:val="Compact"/>
              <w:jc w:val="left"/>
            </w:pPr>
            <w:r>
              <w:t xml:space="preserve">Regulatory Permitting &amp; Agency Coordination – All environmental permits, public hearings, and interagency meetings</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Weeks 14–30</w:t>
            </w:r>
          </w:p>
        </w:tc>
      </w:tr>
      <w:tr>
        <w:tc>
          <w:tcPr/>
          <w:p>
            <w:pPr>
              <w:pStyle w:val="Compact"/>
              <w:jc w:val="left"/>
            </w:pPr>
            <w:r>
              <w:t xml:space="preserve">8</w:t>
            </w:r>
          </w:p>
        </w:tc>
        <w:tc>
          <w:tcPr/>
          <w:p>
            <w:pPr>
              <w:pStyle w:val="Compact"/>
              <w:jc w:val="left"/>
            </w:pPr>
            <w:r>
              <w:t xml:space="preserve">Construction Phase Environmental Monitoring – On-site Environmental Engineer oversight (estimated 180 site visits)</w:t>
            </w:r>
          </w:p>
        </w:tc>
        <w:tc>
          <w:tcPr/>
          <w:p>
            <w:pPr>
              <w:pStyle w:val="Compact"/>
              <w:jc w:val="left"/>
            </w:pPr>
            <w:r>
              <w:t xml:space="preserve">180 visits</w:t>
            </w:r>
          </w:p>
        </w:tc>
        <w:tc>
          <w:tcPr/>
          <w:p>
            <w:pPr>
              <w:pStyle w:val="Compact"/>
              <w:jc w:val="left"/>
            </w:pPr>
            <w:r>
              <w:t xml:space="preserve">$425.00</w:t>
            </w:r>
          </w:p>
        </w:tc>
        <w:tc>
          <w:tcPr/>
          <w:p>
            <w:pPr>
              <w:pStyle w:val="Compact"/>
              <w:jc w:val="left"/>
            </w:pPr>
            <w:r>
              <w:t xml:space="preserve">$76,500.00</w:t>
            </w:r>
          </w:p>
        </w:tc>
        <w:tc>
          <w:tcPr/>
          <w:p>
            <w:pPr>
              <w:pStyle w:val="Compact"/>
              <w:jc w:val="left"/>
            </w:pPr>
            <w:r>
              <w:t xml:space="preserve">Weeks 24–52</w:t>
            </w:r>
          </w:p>
        </w:tc>
      </w:tr>
      <w:tr>
        <w:tc>
          <w:tcPr/>
          <w:p>
            <w:pPr>
              <w:pStyle w:val="Compact"/>
              <w:jc w:val="left"/>
            </w:pPr>
            <w:r>
              <w:t xml:space="preserve">9</w:t>
            </w:r>
          </w:p>
        </w:tc>
        <w:tc>
          <w:tcPr/>
          <w:p>
            <w:pPr>
              <w:pStyle w:val="Compact"/>
              <w:jc w:val="left"/>
            </w:pPr>
            <w:r>
              <w:t xml:space="preserve">Project Closeout, Final Reporting &amp; As-Built Environmental Documentation</w:t>
            </w:r>
          </w:p>
        </w:tc>
        <w:tc>
          <w:tcPr/>
          <w:p>
            <w:pPr>
              <w:pStyle w:val="Compact"/>
              <w:jc w:val="left"/>
            </w:pPr>
            <w:r>
              <w:t xml:space="preserve">1 lot</w:t>
            </w:r>
          </w:p>
        </w:tc>
        <w:tc>
          <w:tcPr/>
          <w:p>
            <w:pPr>
              <w:pStyle w:val="Compact"/>
              <w:jc w:val="left"/>
            </w:pPr>
            <w:r>
              <w:t xml:space="preserve">$18,900.00</w:t>
            </w:r>
          </w:p>
        </w:tc>
        <w:tc>
          <w:tcPr/>
          <w:p>
            <w:pPr>
              <w:pStyle w:val="Compact"/>
              <w:jc w:val="left"/>
            </w:pPr>
            <w:r>
              <w:t xml:space="preserve">$18,900.00</w:t>
            </w:r>
          </w:p>
        </w:tc>
        <w:tc>
          <w:tcPr/>
          <w:p>
            <w:pPr>
              <w:pStyle w:val="Compact"/>
              <w:jc w:val="left"/>
            </w:pPr>
            <w:r>
              <w:t xml:space="preserve">Weeks 50–56</w:t>
            </w:r>
          </w:p>
        </w:tc>
      </w:tr>
      <w:tr>
        <w:tc>
          <w:tcPr>
            <w:gridSpan w:val="4"/>
          </w:tcPr>
          <w:p>
            <w:pPr>
              <w:pStyle w:val="Compact"/>
              <w:jc w:val="left"/>
            </w:pPr>
            <w:r>
              <w:t xml:space="preserve">Subtotal – Professional Environmental Engineer Services</w:t>
            </w:r>
          </w:p>
        </w:tc>
        <w:tc>
          <w:tcPr/>
          <w:p>
            <w:pPr>
              <w:pStyle w:val="Compact"/>
              <w:jc w:val="left"/>
            </w:pPr>
            <w:r>
              <w:t xml:space="preserve">$409,000.00</w:t>
            </w:r>
          </w:p>
        </w:tc>
        <w:tc>
          <w:tcPr/>
          <w:p>
            <w:pPr>
              <w:pStyle w:val="Compact"/>
            </w:pPr>
          </w:p>
        </w:tc>
      </w:tr>
      <w:tr>
        <w:tc>
          <w:tcPr>
            <w:gridSpan w:val="4"/>
          </w:tcPr>
          <w:p>
            <w:pPr>
              <w:pStyle w:val="Compact"/>
              <w:jc w:val="left"/>
            </w:pPr>
            <w:r>
              <w:t xml:space="preserve">Applicable California Sales &amp; Use Tax (8.63%)</w:t>
            </w:r>
          </w:p>
        </w:tc>
        <w:tc>
          <w:tcPr/>
          <w:p>
            <w:pPr>
              <w:pStyle w:val="Compact"/>
              <w:jc w:val="left"/>
            </w:pPr>
            <w:r>
              <w:t xml:space="preserve">$35,296.70</w:t>
            </w:r>
          </w:p>
        </w:tc>
        <w:tc>
          <w:tcPr/>
          <w:p>
            <w:pPr>
              <w:pStyle w:val="Compact"/>
            </w:pPr>
          </w:p>
        </w:tc>
      </w:tr>
      <w:tr>
        <w:tc>
          <w:tcPr>
            <w:gridSpan w:val="4"/>
          </w:tcPr>
          <w:p>
            <w:pPr>
              <w:pStyle w:val="Compact"/>
              <w:jc w:val="left"/>
            </w:pPr>
            <w:r>
              <w:t xml:space="preserve">TOTAL ESTIMATED COST (USD)</w:t>
            </w:r>
          </w:p>
        </w:tc>
        <w:tc>
          <w:tcPr/>
          <w:p>
            <w:pPr>
              <w:pStyle w:val="Compact"/>
              <w:jc w:val="left"/>
            </w:pPr>
            <w:r>
              <w:t xml:space="preserve">$444,296.70</w:t>
            </w:r>
          </w:p>
        </w:tc>
        <w:tc>
          <w:tcPr/>
          <w:p>
            <w:pPr>
              <w:pStyle w:val="Compact"/>
            </w:pPr>
          </w:p>
        </w:tc>
      </w:tr>
    </w:tbl>
    <w:p>
      <w:pPr>
        <w:pStyle w:val="BodyText"/>
      </w:pPr>
      <w:r>
        <w:t xml:space="preserve">4. Payment Schedule</w:t>
      </w:r>
    </w:p>
    <w:p>
      <w:pPr>
        <w:pStyle w:val="BodyText"/>
      </w:pPr>
      <w:r>
        <w:t xml:space="preserve">Payment for the</w:t>
      </w:r>
      <w:r>
        <w:t xml:space="preserve"> </w:t>
      </w:r>
      <w:r>
        <w:t xml:space="preserve">Environmental Engineer</w:t>
      </w:r>
      <w:r>
        <w:t xml:space="preserve"> </w:t>
      </w:r>
      <w:r>
        <w:t xml:space="preserve">services described in this</w:t>
      </w:r>
      <w:r>
        <w:t xml:space="preserve"> </w:t>
      </w:r>
      <w:r>
        <w:t xml:space="preserve">Quotation Estimate</w:t>
      </w:r>
      <w:r>
        <w:t xml:space="preserve"> </w:t>
      </w:r>
      <w:r>
        <w:t xml:space="preserve">shall be made in accordance with the following milestone-based schedule:</w:t>
      </w:r>
    </w:p>
    <w:p>
      <w:pPr>
        <w:numPr>
          <w:ilvl w:val="0"/>
          <w:numId w:val="1002"/>
        </w:numPr>
        <w:pStyle w:val="Compact"/>
      </w:pPr>
      <w:r>
        <w:rPr>
          <w:bCs/>
          <w:b/>
        </w:rPr>
        <w:t xml:space="preserve">Milestone 1 (20%):</w:t>
      </w:r>
      <w:r>
        <w:t xml:space="preserve"> </w:t>
      </w:r>
      <w:r>
        <w:t xml:space="preserve">Upon execution of the professional services agreement – $88,859.34</w:t>
      </w:r>
    </w:p>
    <w:p>
      <w:pPr>
        <w:numPr>
          <w:ilvl w:val="0"/>
          <w:numId w:val="1002"/>
        </w:numPr>
        <w:pStyle w:val="Compact"/>
      </w:pPr>
      <w:r>
        <w:rPr>
          <w:bCs/>
          <w:b/>
        </w:rPr>
        <w:t xml:space="preserve">Milestone 2 (25%):</w:t>
      </w:r>
      <w:r>
        <w:t xml:space="preserve"> </w:t>
      </w:r>
      <w:r>
        <w:t xml:space="preserve">Upon submission of the Draft CEQA EIR for public review – $111,074.18</w:t>
      </w:r>
    </w:p>
    <w:p>
      <w:pPr>
        <w:numPr>
          <w:ilvl w:val="0"/>
          <w:numId w:val="1002"/>
        </w:numPr>
        <w:pStyle w:val="Compact"/>
      </w:pPr>
      <w:r>
        <w:rPr>
          <w:bCs/>
          <w:b/>
        </w:rPr>
        <w:t xml:space="preserve">Milestone 3 (25%):</w:t>
      </w:r>
      <w:r>
        <w:t xml:space="preserve"> </w:t>
      </w:r>
      <w:r>
        <w:t xml:space="preserve">Upon issuance of all environmental permits and approval of the Final EIR – $111,074.18</w:t>
      </w:r>
    </w:p>
    <w:p>
      <w:pPr>
        <w:numPr>
          <w:ilvl w:val="0"/>
          <w:numId w:val="1002"/>
        </w:numPr>
        <w:pStyle w:val="Compact"/>
      </w:pPr>
      <w:r>
        <w:rPr>
          <w:bCs/>
          <w:b/>
        </w:rPr>
        <w:t xml:space="preserve">Milestone 4 (20%):</w:t>
      </w:r>
      <w:r>
        <w:t xml:space="preserve"> </w:t>
      </w:r>
      <w:r>
        <w:t xml:space="preserve">Upon completion of construction phase monitoring – $88,859.34</w:t>
      </w:r>
    </w:p>
    <w:p>
      <w:pPr>
        <w:numPr>
          <w:ilvl w:val="0"/>
          <w:numId w:val="1002"/>
        </w:numPr>
        <w:pStyle w:val="Compact"/>
      </w:pPr>
      <w:r>
        <w:rPr>
          <w:bCs/>
          <w:b/>
        </w:rPr>
        <w:t xml:space="preserve">Milestone 5 (10%):</w:t>
      </w:r>
      <w:r>
        <w:t xml:space="preserve"> </w:t>
      </w:r>
      <w:r>
        <w:t xml:space="preserve">Upon delivery of final closeout documentation – $44,429.66</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rates and fees are subject to revision based on prevailing market conditions in</w:t>
      </w:r>
      <w:r>
        <w:t xml:space="preserve"> </w:t>
      </w:r>
      <w:r>
        <w:t xml:space="preserve">United States San Francisco</w:t>
      </w:r>
      <w:r>
        <w:t xml:space="preserve">.</w:t>
      </w:r>
    </w:p>
    <w:p>
      <w:pPr>
        <w:numPr>
          <w:ilvl w:val="0"/>
          <w:numId w:val="1003"/>
        </w:numPr>
        <w:pStyle w:val="Compact"/>
      </w:pPr>
      <w:r>
        <w:t xml:space="preserve">All professional services shall be performed by a licensed</w:t>
      </w:r>
      <w:r>
        <w:t xml:space="preserve"> </w:t>
      </w:r>
      <w:r>
        <w:t xml:space="preserve">Environmental Engineer</w:t>
      </w:r>
      <w:r>
        <w:t xml:space="preserve"> </w:t>
      </w:r>
      <w:r>
        <w:t xml:space="preserve">holding an active California Professional Engineer (P.E.) license and, where applicable, a Professional Geologist (P.G.) license. The lead</w:t>
      </w:r>
      <w:r>
        <w:t xml:space="preserve"> </w:t>
      </w:r>
      <w:r>
        <w:t xml:space="preserve">Environmental Engineer</w:t>
      </w:r>
      <w:r>
        <w:t xml:space="preserve"> </w:t>
      </w:r>
      <w:r>
        <w:t xml:space="preserve">for this project is Dr. Elena Vasquez, P.E., P.G. (License No. 184729).</w:t>
      </w:r>
    </w:p>
    <w:p>
      <w:pPr>
        <w:numPr>
          <w:ilvl w:val="0"/>
          <w:numId w:val="1003"/>
        </w:numPr>
        <w:pStyle w:val="Compact"/>
      </w:pPr>
      <w:r>
        <w:t xml:space="preserve">The client acknowledges that the</w:t>
      </w:r>
      <w:r>
        <w:t xml:space="preserve"> </w:t>
      </w:r>
      <w:r>
        <w:t xml:space="preserve">Environmental Engineer</w:t>
      </w:r>
      <w:r>
        <w:t xml:space="preserve"> </w:t>
      </w:r>
      <w:r>
        <w:t xml:space="preserve">services are professional in nature and that the fees set forth in this</w:t>
      </w:r>
      <w:r>
        <w:t xml:space="preserve"> </w:t>
      </w:r>
      <w:r>
        <w:t xml:space="preserve">Quotation Estimate</w:t>
      </w:r>
      <w:r>
        <w:t xml:space="preserve"> </w:t>
      </w:r>
      <w:r>
        <w:t xml:space="preserve">are based on the scope of work described herein. Any work outside the defined scope will be billed as a change order at the hourly rates specified in the attached Rate Schedule.</w:t>
      </w:r>
    </w:p>
    <w:p>
      <w:pPr>
        <w:numPr>
          <w:ilvl w:val="0"/>
          <w:numId w:val="1003"/>
        </w:numPr>
        <w:pStyle w:val="Compact"/>
      </w:pPr>
      <w:r>
        <w:t xml:space="preserve">All work will be conducted in compliance with the laws of the State of California, the City and County of San Francisco, and all applicable federal regulations. The</w:t>
      </w:r>
      <w:r>
        <w:t xml:space="preserve"> </w:t>
      </w:r>
      <w:r>
        <w:t xml:space="preserve">Environmental Engineer</w:t>
      </w:r>
      <w:r>
        <w:t xml:space="preserve"> </w:t>
      </w:r>
      <w:r>
        <w:t xml:space="preserve">shall maintain professional liability insurance with a minimum coverage of $5,000,000 per occurrence.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Professional Services Agreement is executed by both parties. The terms herein are subject to the final agreement language.</w:t>
      </w:r>
    </w:p>
    <w:p>
      <w:pPr>
        <w:numPr>
          <w:ilvl w:val="0"/>
          <w:numId w:val="1003"/>
        </w:numPr>
        <w:pStyle w:val="Compact"/>
      </w:pPr>
      <w:r>
        <w:t xml:space="preserve">All deliverables, including reports, maps, data sets, and permit applications prepared by the</w:t>
      </w:r>
      <w:r>
        <w:t xml:space="preserve"> </w:t>
      </w:r>
      <w:r>
        <w:t xml:space="preserve">Environmental Engineer</w:t>
      </w:r>
      <w:r>
        <w:t xml:space="preserve">, shall become the property of the client upon full payment of the corresponding milestone invoice.</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agreement shall be resolved through mediation in San Francisco, California, in accordance with the rules of the American Arbitration Association.</w:t>
      </w:r>
    </w:p>
    <w:p>
      <w:pPr>
        <w:numPr>
          <w:ilvl w:val="0"/>
          <w:numId w:val="1003"/>
        </w:numPr>
        <w:pStyle w:val="Compact"/>
      </w:pPr>
      <w:r>
        <w:t xml:space="preserve">The</w:t>
      </w:r>
      <w:r>
        <w:t xml:space="preserve"> </w:t>
      </w:r>
      <w:r>
        <w:t xml:space="preserve">Environmental Engineer</w:t>
      </w:r>
      <w:r>
        <w:t xml:space="preserve"> </w:t>
      </w:r>
      <w:r>
        <w:t xml:space="preserve">reserves the right to withdraw from this engagement if the project site conditions present hazards that cannot be adequately mitigated, or if regulatory changes in</w:t>
      </w:r>
      <w:r>
        <w:t xml:space="preserve"> </w:t>
      </w:r>
      <w:r>
        <w:t xml:space="preserve">United States San Francisco</w:t>
      </w:r>
      <w:r>
        <w:t xml:space="preserve"> </w:t>
      </w:r>
      <w:r>
        <w:t xml:space="preserve">fundamentally alter the scope of required services.</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GreenScape Environmental Consulting, Inc. to proceed with the</w:t>
      </w:r>
      <w:r>
        <w:t xml:space="preserve"> </w:t>
      </w:r>
      <w:r>
        <w:t xml:space="preserve">Environmental Engineer</w:t>
      </w:r>
      <w:r>
        <w:t xml:space="preserve"> </w:t>
      </w:r>
      <w:r>
        <w:t xml:space="preserve">services as described, subject to execution of a formal Professional Services Agreement.</w:t>
      </w:r>
    </w:p>
    <w:p>
      <w:pPr>
        <w:pStyle w:val="BodyText"/>
      </w:pPr>
      <w:r>
        <w:rPr>
          <w:bCs/>
          <w:b/>
        </w:rPr>
        <w:t xml:space="preserve">For GreenScape Environmental Consulting, Inc.</w:t>
      </w:r>
    </w:p>
    <w:p>
      <w:pPr>
        <w:pStyle w:val="BodyText"/>
      </w:pPr>
      <w:r>
        <w:t xml:space="preserve">Dr. Elena Vasquez, P.E., P.G.</w:t>
      </w:r>
    </w:p>
    <w:p>
      <w:pPr>
        <w:pStyle w:val="BodyText"/>
      </w:pPr>
      <w:r>
        <w:t xml:space="preserve">Lead Environmental Engineer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Bay Area Municipal Development Authority</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GreenScape Environmental Consulting, Inc.  |  1200 Market Street, Suite 4500, San Francisco, CA 94102, United States</w:t>
      </w:r>
    </w:p>
    <w:p>
      <w:pPr>
        <w:pStyle w:val="BodyText"/>
      </w:pPr>
      <w:r>
        <w:t xml:space="preserve">Quotation Estimate No. QTE-2025-SF-0472  |  Page 1 of 1  |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United States San Francisco</dc:title>
  <dc:creator/>
  <dc:language>en</dc:language>
  <cp:keywords/>
  <dcterms:created xsi:type="dcterms:W3CDTF">2026-10-10T03:49:17Z</dcterms:created>
  <dcterms:modified xsi:type="dcterms:W3CDTF">2026-10-10T03:49:17Z</dcterms:modified>
</cp:coreProperties>
</file>

<file path=docProps/custom.xml><?xml version="1.0" encoding="utf-8"?>
<Properties xmlns="http://schemas.openxmlformats.org/officeDocument/2006/custom-properties" xmlns:vt="http://schemas.openxmlformats.org/officeDocument/2006/docPropsVTypes"/>
</file>