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Projects in Vietnam Ho Chi Minh City</w:t>
      </w:r>
    </w:p>
    <w:bookmarkEnd w:id="20"/>
    <w:p>
      <w:pPr>
        <w:pStyle w:val="BodyText"/>
      </w:pPr>
      <w:r>
        <w:rPr>
          <w:bCs/>
          <w:b/>
        </w:rPr>
        <w:t xml:space="preserve">Quotation No.:</w:t>
      </w:r>
      <w:r>
        <w:t xml:space="preserve"> </w:t>
      </w:r>
      <w:r>
        <w:t xml:space="preserve">QTE-HCMC-2025-0472</w:t>
      </w:r>
      <w:r>
        <w:br/>
      </w:r>
      <w:r>
        <w:rPr>
          <w:bCs/>
          <w:b/>
        </w:rPr>
        <w:t xml:space="preserve">Date Issued:</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Prepared By:</w:t>
      </w:r>
      <w:r>
        <w:t xml:space="preserve"> </w:t>
      </w:r>
      <w:r>
        <w:t xml:space="preserve">GreenSolutions Environmental Consulting Co., Ltd.</w:t>
      </w:r>
      <w:r>
        <w:br/>
      </w:r>
      <w:r>
        <w:rPr>
          <w:bCs/>
          <w:b/>
        </w:rPr>
        <w:t xml:space="preserve">Address:</w:t>
      </w:r>
      <w:r>
        <w:t xml:space="preserve"> </w:t>
      </w:r>
      <w:r>
        <w:t xml:space="preserve">128 Nguyen Van Linh Street, District 1, Vietnam Ho Chi Minh City</w:t>
      </w:r>
      <w:r>
        <w:br/>
      </w:r>
      <w:r>
        <w:rPr>
          <w:bCs/>
          <w:b/>
        </w:rPr>
        <w:t xml:space="preserve">Contact:</w:t>
      </w:r>
      <w:r>
        <w:t xml:space="preserve"> </w:t>
      </w:r>
      <w:r>
        <w:t xml:space="preserve">+84 28 3822 4567 | info@greensolutions-vn.com</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Saigon Industrial Development Joint Stock Company</w:t>
      </w:r>
    </w:p>
    <w:p>
      <w:pPr>
        <w:pStyle w:val="BodyText"/>
      </w:pPr>
      <w:r>
        <w:rPr>
          <w:bCs/>
          <w:b/>
        </w:rPr>
        <w:t xml:space="preserve">Project Location:</w:t>
      </w:r>
      <w:r>
        <w:t xml:space="preserve"> </w:t>
      </w:r>
      <w:r>
        <w:t xml:space="preserve">Binh Tan District, Vietnam Ho Chi Minh City</w:t>
      </w:r>
    </w:p>
    <w:p>
      <w:pPr>
        <w:pStyle w:val="BodyText"/>
      </w:pPr>
      <w:r>
        <w:rPr>
          <w:bCs/>
          <w:b/>
        </w:rPr>
        <w:t xml:space="preserve">Project Description:</w:t>
      </w:r>
      <w:r>
        <w:t xml:space="preserve"> </w:t>
      </w:r>
      <w:r>
        <w:t xml:space="preserve">Comprehensive environmental impact assessment, wastewater treatment system design, and ongoing environmental compliance monitoring for a new manufacturing facility in Vietnam Ho Chi Minh City.</w:t>
      </w:r>
    </w:p>
    <w:bookmarkEnd w:id="21"/>
    <w:bookmarkStart w:id="22" w:name="Xd67a49fbb03b73b4ae262e30418a1fe3c7dde05"/>
    <w:p>
      <w:pPr>
        <w:pStyle w:val="Heading2"/>
      </w:pPr>
      <w:r>
        <w:t xml:space="preserve">2. Scope of Services – Environmental Engineer Engagement</w:t>
      </w:r>
    </w:p>
    <w:p>
      <w:pPr>
        <w:pStyle w:val="FirstParagraph"/>
      </w:pPr>
      <w:r>
        <w:t xml:space="preserve">This Quotation Estimate outlines the full scope of professional services to be delivered by a licensed</w:t>
      </w:r>
      <w:r>
        <w:t xml:space="preserve"> </w:t>
      </w:r>
      <w:r>
        <w:t xml:space="preserve">Environmental Engineer</w:t>
      </w:r>
      <w:r>
        <w:t xml:space="preserve"> </w:t>
      </w:r>
      <w:r>
        <w:t xml:space="preserve">and supporting technical team for the client's manufacturing project in Vietnam Ho Chi Minh City. The Environmental Engineer will be responsible for all phases of environmental planning, regulatory compliance, system design, and post-construction monitoring in accordance with Vietnamese national environmental standards (QCVN) and the Law on Environmental Protection 2020 (Law No. 72/2020/QH14).</w:t>
      </w:r>
    </w:p>
    <w:p>
      <w:pPr>
        <w:pStyle w:val="BodyText"/>
      </w:pPr>
      <w:r>
        <w:t xml:space="preserve">The Environmental Engineer will conduct site assessments, prepare Environmental Impact Assessment (EIA) reports, design wastewater and air emission treatment systems, develop environmental management plans, and provide ongoing technical supervision throughout the project lifecycle in Vietnam Ho Chi Minh City.</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Initial site survey and environmental baseline assessment by Environmental Engineer in Vietnam Ho Chi Minh City</w:t>
            </w:r>
          </w:p>
        </w:tc>
        <w:tc>
          <w:tcPr/>
          <w:p>
            <w:pPr>
              <w:pStyle w:val="Compact"/>
              <w:jc w:val="left"/>
            </w:pPr>
            <w:r>
              <w:t xml:space="preserve">10 days</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Preparation and submission of Environmental Impact Assessment (EIA) report to local authorities in Vietnam Ho Chi Minh City</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03</w:t>
            </w:r>
          </w:p>
        </w:tc>
        <w:tc>
          <w:tcPr/>
          <w:p>
            <w:pPr>
              <w:pStyle w:val="Compact"/>
              <w:jc w:val="left"/>
            </w:pPr>
            <w:r>
              <w:t xml:space="preserve">Design of wastewater treatment system (capacity: 500 m³/day) by senior Environmental Engineer</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Design of air emission control and noise mitigation systems</w:t>
            </w:r>
          </w:p>
        </w:tc>
        <w:tc>
          <w:tcPr/>
          <w:p>
            <w:pPr>
              <w:pStyle w:val="Compact"/>
              <w:jc w:val="left"/>
            </w:pPr>
            <w:r>
              <w:t xml:space="preserve">20 days</w:t>
            </w:r>
          </w:p>
        </w:tc>
        <w:tc>
          <w:tcPr/>
          <w:p>
            <w:pPr>
              <w:pStyle w:val="Compact"/>
              <w:jc w:val="left"/>
            </w:pPr>
            <w:r>
              <w:t xml:space="preserve">Lump Sum</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05</w:t>
            </w:r>
          </w:p>
        </w:tc>
        <w:tc>
          <w:tcPr/>
          <w:p>
            <w:pPr>
              <w:pStyle w:val="Compact"/>
              <w:jc w:val="left"/>
            </w:pPr>
            <w:r>
              <w:t xml:space="preserve">Environmental management plan development and emergency response protocol</w:t>
            </w:r>
          </w:p>
        </w:tc>
        <w:tc>
          <w:tcPr/>
          <w:p>
            <w:pPr>
              <w:pStyle w:val="Compact"/>
              <w:jc w:val="left"/>
            </w:pPr>
            <w:r>
              <w:t xml:space="preserve">15 days</w:t>
            </w:r>
          </w:p>
        </w:tc>
        <w:tc>
          <w:tcPr/>
          <w:p>
            <w:pPr>
              <w:pStyle w:val="Compact"/>
              <w:jc w:val="left"/>
            </w:pPr>
            <w:r>
              <w:t xml:space="preserve">Lump Sum</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06</w:t>
            </w:r>
          </w:p>
        </w:tc>
        <w:tc>
          <w:tcPr/>
          <w:p>
            <w:pPr>
              <w:pStyle w:val="Compact"/>
              <w:jc w:val="left"/>
            </w:pPr>
            <w:r>
              <w:t xml:space="preserve">Construction-phase environmental supervision by Environmental Engineer (monthly visits)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28,000,000</w:t>
            </w:r>
          </w:p>
        </w:tc>
        <w:tc>
          <w:tcPr/>
          <w:p>
            <w:pPr>
              <w:pStyle w:val="Compact"/>
              <w:jc w:val="left"/>
            </w:pPr>
            <w:r>
              <w:t xml:space="preserve">168,000,000</w:t>
            </w:r>
          </w:p>
        </w:tc>
      </w:tr>
      <w:tr>
        <w:tc>
          <w:tcPr/>
          <w:p>
            <w:pPr>
              <w:pStyle w:val="Compact"/>
              <w:jc w:val="left"/>
            </w:pPr>
            <w:r>
              <w:t xml:space="preserve">07</w:t>
            </w:r>
          </w:p>
        </w:tc>
        <w:tc>
          <w:tcPr/>
          <w:p>
            <w:pPr>
              <w:pStyle w:val="Compact"/>
              <w:jc w:val="left"/>
            </w:pPr>
            <w:r>
              <w:t xml:space="preserve">Post-commissioning environmental monitoring and quarterly compliance reporting in Vietnam Ho Chi Minh City</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08</w:t>
            </w:r>
          </w:p>
        </w:tc>
        <w:tc>
          <w:tcPr/>
          <w:p>
            <w:pPr>
              <w:pStyle w:val="Compact"/>
              <w:jc w:val="left"/>
            </w:pPr>
            <w:r>
              <w:t xml:space="preserve">Regulatory liaison and permit acquisition support with Vietnam Ho Chi Minh City Department of Natural Resources and Environment</w:t>
            </w:r>
          </w:p>
        </w:tc>
        <w:tc>
          <w:tcPr/>
          <w:p>
            <w:pPr>
              <w:pStyle w:val="Compact"/>
              <w:jc w:val="left"/>
            </w:pPr>
            <w:r>
              <w:t xml:space="preserve">Ongoing</w:t>
            </w:r>
          </w:p>
        </w:tc>
        <w:tc>
          <w:tcPr/>
          <w:p>
            <w:pPr>
              <w:pStyle w:val="Compact"/>
              <w:jc w:val="left"/>
            </w:pPr>
            <w:r>
              <w:t xml:space="preserve">Lump Sum</w:t>
            </w:r>
          </w:p>
        </w:tc>
        <w:tc>
          <w:tcPr/>
          <w:p>
            <w:pPr>
              <w:pStyle w:val="Compact"/>
              <w:jc w:val="left"/>
            </w:pPr>
            <w:r>
              <w:t xml:space="preserve">60,000,000</w:t>
            </w:r>
          </w:p>
        </w:tc>
        <w:tc>
          <w:tcPr/>
          <w:p>
            <w:pPr>
              <w:pStyle w:val="Compact"/>
              <w:jc w:val="left"/>
            </w:pPr>
            <w:r>
              <w:t xml:space="preserve">60,000,000</w:t>
            </w:r>
          </w:p>
        </w:tc>
      </w:tr>
      <w:tr>
        <w:tc>
          <w:tcPr>
            <w:gridSpan w:val="5"/>
          </w:tcPr>
          <w:p>
            <w:pPr>
              <w:pStyle w:val="Compact"/>
              <w:jc w:val="left"/>
            </w:pPr>
            <w:r>
              <w:t xml:space="preserve">SUBTOTAL (VND)</w:t>
            </w:r>
          </w:p>
        </w:tc>
        <w:tc>
          <w:tcPr/>
          <w:p>
            <w:pPr>
              <w:pStyle w:val="Compact"/>
              <w:jc w:val="left"/>
            </w:pPr>
            <w:r>
              <w:t xml:space="preserve">848,000,000</w:t>
            </w:r>
          </w:p>
        </w:tc>
      </w:tr>
      <w:tr>
        <w:tc>
          <w:tcPr>
            <w:gridSpan w:val="5"/>
          </w:tcPr>
          <w:p>
            <w:pPr>
              <w:pStyle w:val="Compact"/>
              <w:jc w:val="left"/>
            </w:pPr>
            <w:r>
              <w:t xml:space="preserve">VAT (10%)</w:t>
            </w:r>
          </w:p>
        </w:tc>
        <w:tc>
          <w:tcPr/>
          <w:p>
            <w:pPr>
              <w:pStyle w:val="Compact"/>
              <w:jc w:val="left"/>
            </w:pPr>
            <w:r>
              <w:t xml:space="preserve">84,800,000</w:t>
            </w:r>
          </w:p>
        </w:tc>
      </w:tr>
      <w:tr>
        <w:tc>
          <w:tcPr>
            <w:gridSpan w:val="5"/>
          </w:tcPr>
          <w:p>
            <w:pPr>
              <w:pStyle w:val="Compact"/>
              <w:jc w:val="left"/>
            </w:pPr>
            <w:r>
              <w:t xml:space="preserve">GRAND TOTAL (VND)</w:t>
            </w:r>
          </w:p>
        </w:tc>
        <w:tc>
          <w:tcPr/>
          <w:p>
            <w:pPr>
              <w:pStyle w:val="Compact"/>
              <w:jc w:val="left"/>
            </w:pPr>
            <w:r>
              <w:t xml:space="preserve">932,800,000</w:t>
            </w:r>
          </w:p>
        </w:tc>
      </w:tr>
    </w:tbl>
    <w:p>
      <w:pPr>
        <w:pStyle w:val="BodyText"/>
      </w:pPr>
      <w:r>
        <w:rPr>
          <w:bCs/>
          <w:b/>
        </w:rPr>
        <w:t xml:space="preserve">Grand Total in words:</w:t>
      </w:r>
      <w:r>
        <w:t xml:space="preserve"> </w:t>
      </w:r>
      <w:r>
        <w:t xml:space="preserve">Nine Hundred Thirty-Two Million Eight Hundred Thousand Vietnamese Dong only.</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sixty (60) calendar days from the date of issue. After this period, pricing may be subject to revision based on market conditions in Vietnam Ho Chi Minh City.</w:t>
      </w:r>
    </w:p>
    <w:p>
      <w:pPr>
        <w:numPr>
          <w:ilvl w:val="0"/>
          <w:numId w:val="1001"/>
        </w:numPr>
        <w:pStyle w:val="Compact"/>
      </w:pPr>
      <w:r>
        <w:t xml:space="preserve">Payment terms: 30% advance payment upon contract signing, 40% upon completion of design and EIA submission, and 30% upon final project acceptance and handover of all documentation.</w:t>
      </w:r>
    </w:p>
    <w:p>
      <w:pPr>
        <w:numPr>
          <w:ilvl w:val="0"/>
          <w:numId w:val="1001"/>
        </w:numPr>
        <w:pStyle w:val="Compact"/>
      </w:pPr>
      <w:r>
        <w:t xml:space="preserve">All services will be performed by a qualified Environmental Engineer holding a valid professional license issued by the Ministry of Natural Resources and Environment of Vietnam, with a minimum of ten (10) years of experience in industrial environmental projects in Vietnam Ho Chi Minh City.</w:t>
      </w:r>
    </w:p>
    <w:p>
      <w:pPr>
        <w:numPr>
          <w:ilvl w:val="0"/>
          <w:numId w:val="1001"/>
        </w:numPr>
        <w:pStyle w:val="Compact"/>
      </w:pPr>
      <w:r>
        <w:t xml:space="preserve">The Environmental Engineer shall comply with all applicable Vietnamese environmental regulations, including Decree 08/2022/NĐ-CP and relevant QCVN standards specific to the Binh Tan District industrial zone.</w:t>
      </w:r>
    </w:p>
    <w:p>
      <w:pPr>
        <w:numPr>
          <w:ilvl w:val="0"/>
          <w:numId w:val="1001"/>
        </w:numPr>
        <w:pStyle w:val="Compact"/>
      </w:pPr>
      <w:r>
        <w:t xml:space="preserve">Any changes to the scope of work must be agreed upon in writing by both parties. Additional services will be billed separately at the rates specified in this Quotation Estimate.</w:t>
      </w:r>
    </w:p>
    <w:p>
      <w:pPr>
        <w:numPr>
          <w:ilvl w:val="0"/>
          <w:numId w:val="1001"/>
        </w:numPr>
        <w:pStyle w:val="Compact"/>
      </w:pPr>
      <w:r>
        <w:t xml:space="preserve">The client is responsible for providing timely access to the project site in Vietnam Ho Chi Minh City and all necessary operational data required by the Environmental Engineer.</w:t>
      </w:r>
    </w:p>
    <w:p>
      <w:pPr>
        <w:numPr>
          <w:ilvl w:val="0"/>
          <w:numId w:val="1001"/>
        </w:numPr>
        <w:pStyle w:val="Compact"/>
      </w:pPr>
      <w:r>
        <w:t xml:space="preserve">Confidentiality: All project data, design documents, and environmental reports prepared by the Environmental Engineer shall remain the exclusive property of the client and shall not be disclosed to third parties without written consent.</w:t>
      </w:r>
    </w:p>
    <w:p>
      <w:pPr>
        <w:numPr>
          <w:ilvl w:val="0"/>
          <w:numId w:val="1001"/>
        </w:numPr>
        <w:pStyle w:val="Compact"/>
      </w:pPr>
      <w:r>
        <w:t xml:space="preserve">Disputes arising from this Quotation Estimate and subsequent contract shall be resolved through arbitration in Vietnam Ho Chi Minh City in accordance with the rules of the Vietnam International Arbitration Centre (VIAC).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Environmental Engineer for the described project in Vietnam Ho Chi Minh City.</w:t>
      </w:r>
    </w:p>
    <w:bookmarkEnd w:id="25"/>
    <w:p>
      <w:pPr>
        <w:pStyle w:val="BodyText"/>
      </w:pPr>
      <w:r>
        <w:rPr>
          <w:bCs/>
          <w:b/>
        </w:rPr>
        <w:t xml:space="preserve">For GreenSolutions Environmental Consulting Co., Ltd.</w:t>
      </w:r>
    </w:p>
    <w:p>
      <w:pPr>
        <w:pStyle w:val="BodyText"/>
      </w:pPr>
      <w:r>
        <w:t xml:space="preserve">Dr. Nguyen Van Minh</w:t>
      </w:r>
      <w:r>
        <w:br/>
      </w:r>
      <w:r>
        <w:t xml:space="preserve">Lead Environmental Engineer</w:t>
      </w:r>
      <w:r>
        <w:br/>
      </w:r>
      <w:r>
        <w:t xml:space="preserve">License No: ENV-2019-0847</w:t>
      </w:r>
      <w:r>
        <w:br/>
      </w:r>
      <w:r>
        <w:t xml:space="preserve">Date: _______________</w:t>
      </w:r>
    </w:p>
    <w:p>
      <w:pPr>
        <w:pStyle w:val="BodyText"/>
      </w:pPr>
      <w:r>
        <w:rPr>
          <w:bCs/>
          <w:b/>
        </w:rPr>
        <w:t xml:space="preserve">For Saigon Industrial Development JSC</w:t>
      </w:r>
    </w:p>
    <w:p>
      <w:pPr>
        <w:pStyle w:val="BodyText"/>
      </w:pPr>
      <w:r>
        <w:t xml:space="preserve">Authorized Representative</w:t>
      </w:r>
      <w:r>
        <w:br/>
      </w:r>
      <w:r>
        <w:t xml:space="preserve">Name: _______________</w:t>
      </w:r>
      <w:r>
        <w:br/>
      </w:r>
      <w:r>
        <w:t xml:space="preserve">Position: _______________</w:t>
      </w:r>
      <w:r>
        <w:br/>
      </w:r>
      <w:r>
        <w:t xml:space="preserve">Date: _______________</w:t>
      </w:r>
    </w:p>
    <w:p>
      <w:pPr>
        <w:pStyle w:val="BodyText"/>
      </w:pPr>
      <w:r>
        <w:t xml:space="preserve">GreenSolutions Environmental Consulting Co., Ltd. | 128 Nguyen Van Linh Street, District 1, Vietnam Ho Chi Minh City | Tax Code: 0312345678</w:t>
      </w:r>
    </w:p>
    <w:p>
      <w:pPr>
        <w:pStyle w:val="BodyText"/>
      </w:pPr>
      <w:r>
        <w:t xml:space="preserve">This Quotation Estimate document is generated electronically and carries the same legal validity as a signed original.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Vietnam Ho Chi Minh City</dc:title>
  <dc:creator/>
  <dc:language>en</dc:language>
  <cp:keywords/>
  <dcterms:created xsi:type="dcterms:W3CDTF">2026-10-10T05:53:39Z</dcterms:created>
  <dcterms:modified xsi:type="dcterms:W3CDTF">2026-10-10T05:53:39Z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