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Colombia</w:t>
      </w:r>
      <w:r>
        <w:t xml:space="preserve"> </w:t>
      </w:r>
      <w:r>
        <w:t xml:space="preserve">Bogotá</w:t>
      </w:r>
    </w:p>
    <w:bookmarkStart w:id="20" w:name="cineandina-productions-s.a.s."/>
    <w:p>
      <w:pPr>
        <w:pStyle w:val="Heading1"/>
      </w:pPr>
      <w:r>
        <w:t xml:space="preserve">CineAndina Productions S.A.S.</w:t>
      </w:r>
    </w:p>
    <w:p>
      <w:pPr>
        <w:pStyle w:val="FirstParagraph"/>
      </w:pPr>
      <w:r>
        <w:t xml:space="preserve">Calle 72 #10-45, Of. 301 — Zona Rosa, Bogotá D.C., Colombia</w:t>
      </w:r>
    </w:p>
    <w:p>
      <w:pPr>
        <w:pStyle w:val="BodyText"/>
      </w:pPr>
      <w:r>
        <w:t xml:space="preserve">Tel: +57 (601) 555 0142  |  Email: quotes@cineandina.co  |  NIT: 901.234.567-8</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QE-2025-04871</w:t>
      </w:r>
    </w:p>
    <w:p>
      <w:pPr>
        <w:pStyle w:val="BodyText"/>
      </w:pPr>
      <w:r>
        <w:rPr>
          <w:bCs/>
          <w:b/>
        </w:rPr>
        <w:t xml:space="preserve">Date Issued:</w:t>
      </w:r>
      <w:r>
        <w:t xml:space="preserve"> </w:t>
      </w:r>
      <w:r>
        <w:t xml:space="preserve">June 12, 2025</w:t>
      </w:r>
    </w:p>
    <w:p>
      <w:pPr>
        <w:pStyle w:val="BodyText"/>
      </w:pPr>
      <w:r>
        <w:rPr>
          <w:bCs/>
          <w:b/>
        </w:rPr>
        <w:t xml:space="preserve">Valid Until:</w:t>
      </w:r>
      <w:r>
        <w:t xml:space="preserve"> </w:t>
      </w:r>
      <w:r>
        <w:t xml:space="preserve">July 12, 2025 (30 days)</w:t>
      </w:r>
    </w:p>
    <w:p>
      <w:pPr>
        <w:pStyle w:val="BodyText"/>
      </w:pPr>
      <w:r>
        <w:rPr>
          <w:bCs/>
          <w:b/>
        </w:rPr>
        <w:t xml:space="preserve">Project Location:</w:t>
      </w:r>
      <w:r>
        <w:t xml:space="preserve"> </w:t>
      </w:r>
      <w:r>
        <w:t xml:space="preserve">Colombia, Bogotá D.C.</w:t>
      </w:r>
    </w:p>
    <w:p>
      <w:pPr>
        <w:pStyle w:val="BodyText"/>
      </w:pPr>
      <w:r>
        <w:rPr>
          <w:bCs/>
          <w:b/>
        </w:rPr>
        <w:t xml:space="preserve">Currency:</w:t>
      </w:r>
      <w:r>
        <w:t xml:space="preserve"> </w:t>
      </w:r>
      <w:r>
        <w:t xml:space="preserve">Colombian Peso (COP)</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Company / Individual Name]</w:t>
      </w:r>
    </w:p>
    <w:p>
      <w:pPr>
        <w:pStyle w:val="BodyText"/>
      </w:pPr>
      <w:r>
        <w:rPr>
          <w:bCs/>
          <w:b/>
        </w:rPr>
        <w:t xml:space="preserve">Contact Person:</w:t>
      </w:r>
      <w:r>
        <w:t xml:space="preserve"> </w:t>
      </w:r>
      <w:r>
        <w:t xml:space="preserve">[Name and Title]</w:t>
      </w:r>
    </w:p>
    <w:p>
      <w:pPr>
        <w:pStyle w:val="BodyText"/>
      </w:pPr>
      <w:r>
        <w:rPr>
          <w:bCs/>
          <w:b/>
        </w:rPr>
        <w:t xml:space="preserve">Email:</w:t>
      </w:r>
      <w:r>
        <w:t xml:space="preserve"> </w:t>
      </w:r>
      <w:r>
        <w:t xml:space="preserve">[client@email.com]</w:t>
      </w:r>
    </w:p>
    <w:p>
      <w:pPr>
        <w:pStyle w:val="BodyText"/>
      </w:pPr>
      <w:r>
        <w:rPr>
          <w:bCs/>
          <w:b/>
        </w:rPr>
        <w:t xml:space="preserve">Phone:</w:t>
      </w:r>
      <w:r>
        <w:t xml:space="preserve"> </w:t>
      </w:r>
      <w:r>
        <w:t xml:space="preserve">[+57 (601) XXX XXXX]</w:t>
      </w:r>
    </w:p>
    <w:p>
      <w:pPr>
        <w:pStyle w:val="BodyText"/>
      </w:pPr>
      <w:r>
        <w:rPr>
          <w:bCs/>
          <w:b/>
        </w:rPr>
        <w:t xml:space="preserve">Address:</w:t>
      </w:r>
      <w:r>
        <w:t xml:space="preserve"> </w:t>
      </w:r>
      <w:r>
        <w:t xml:space="preserve">[Client Address, Bogotá, Colombia]</w:t>
      </w:r>
    </w:p>
    <w:bookmarkEnd w:id="22"/>
    <w:p>
      <w:pPr>
        <w:pStyle w:val="BodyText"/>
      </w:pPr>
      <w:r>
        <w:t xml:space="preserve">Dear Valued Client,</w:t>
      </w:r>
    </w:p>
    <w:p>
      <w:pPr>
        <w:pStyle w:val="BodyText"/>
      </w:pPr>
      <w:r>
        <w:t xml:space="preserve">Thank you for the opportunity to present this</w:t>
      </w:r>
      <w:r>
        <w:t xml:space="preserve"> </w:t>
      </w:r>
      <w:r>
        <w:t xml:space="preserve">Quotation Estimate</w:t>
      </w:r>
      <w:r>
        <w:t xml:space="preserve"> </w:t>
      </w:r>
      <w:r>
        <w:t xml:space="preserve">for professional</w:t>
      </w:r>
      <w:r>
        <w:t xml:space="preserve"> </w:t>
      </w:r>
      <w:r>
        <w:t xml:space="preserve">Film Director</w:t>
      </w:r>
      <w:r>
        <w:t xml:space="preserve"> </w:t>
      </w:r>
      <w:r>
        <w:t xml:space="preserve">services to be executed in</w:t>
      </w:r>
      <w:r>
        <w:t xml:space="preserve"> </w:t>
      </w:r>
      <w:r>
        <w:t xml:space="preserve">Colombia, Bogotá</w:t>
      </w:r>
      <w:r>
        <w:t xml:space="preserve">. CineAndina Productions S.A.S. is a leading audiovisual production company based in the heart of Bogotá, with over fifteen years of experience directing commercial, documentary, corporate, and narrative film projects across Colombia and Latin America. This Quotation Estimate outlines the complete scope of services, deliverables, and associated costs for the engagement of our senior Film Director for your upcoming production.</w:t>
      </w:r>
    </w:p>
    <w:bookmarkStart w:id="23" w:name="X3a043b835e814aab7caacc4da830d94fa8a28be"/>
    <w:p>
      <w:pPr>
        <w:pStyle w:val="Heading2"/>
      </w:pPr>
      <w:r>
        <w:t xml:space="preserve">Scope of Services — Film Director Engagement</w:t>
      </w:r>
    </w:p>
    <w:p>
      <w:pPr>
        <w:pStyle w:val="FirstParagraph"/>
      </w:pPr>
      <w:r>
        <w:t xml:space="preserve">The Film Director engaged under this Quotation Estimate will be responsible for the full creative and technical leadership of the production from pre-production through final delivery. The engagement is specifically tailored to the unique cultural, logistical, and regulatory environment of Colombia, Bogotá, ensuring compliance with local filming permits, labor regulations, and the requirements of the Colombian Film Fund (Fondo para el Cine y los Medios Audiovisuales) where applicable.</w:t>
      </w:r>
    </w:p>
    <w:bookmarkEnd w:id="23"/>
    <w:bookmarkStart w:id="24" w:name="detailed-cost-breakdown"/>
    <w:p>
      <w:pPr>
        <w:pStyle w:val="Heading2"/>
      </w:pPr>
      <w:r>
        <w:t xml:space="preserve">Detailed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Price (COP)</w:t>
            </w:r>
          </w:p>
        </w:tc>
        <w:tc>
          <w:tcPr/>
          <w:p>
            <w:pPr>
              <w:pStyle w:val="Compact"/>
              <w:jc w:val="left"/>
            </w:pPr>
            <w:r>
              <w:t xml:space="preserve">Total (COP)</w:t>
            </w:r>
          </w:p>
        </w:tc>
      </w:tr>
      <w:tr>
        <w:tc>
          <w:tcPr/>
          <w:p>
            <w:pPr>
              <w:pStyle w:val="Compact"/>
              <w:jc w:val="left"/>
            </w:pPr>
            <w:r>
              <w:t xml:space="preserve">01</w:t>
            </w:r>
          </w:p>
        </w:tc>
        <w:tc>
          <w:tcPr/>
          <w:p>
            <w:pPr>
              <w:pStyle w:val="Compact"/>
              <w:jc w:val="left"/>
            </w:pPr>
            <w:r>
              <w:t xml:space="preserve">Pre-Production Consultation &amp; Script Development (Film Director creative vision, storyboard approval, shot list design)</w:t>
            </w:r>
          </w:p>
        </w:tc>
        <w:tc>
          <w:tcPr/>
          <w:p>
            <w:pPr>
              <w:pStyle w:val="Compact"/>
              <w:jc w:val="left"/>
            </w:pPr>
            <w:r>
              <w:t xml:space="preserve">5 days</w:t>
            </w:r>
          </w:p>
        </w:tc>
        <w:tc>
          <w:tcPr/>
          <w:p>
            <w:pPr>
              <w:pStyle w:val="Compact"/>
              <w:jc w:val="left"/>
            </w:pPr>
            <w:r>
              <w:t xml:space="preserve">2,800,000</w:t>
            </w:r>
          </w:p>
        </w:tc>
        <w:tc>
          <w:tcPr/>
          <w:p>
            <w:pPr>
              <w:pStyle w:val="Compact"/>
              <w:jc w:val="left"/>
            </w:pPr>
            <w:r>
              <w:t xml:space="preserve">14,000,000</w:t>
            </w:r>
          </w:p>
        </w:tc>
      </w:tr>
      <w:tr>
        <w:tc>
          <w:tcPr/>
          <w:p>
            <w:pPr>
              <w:pStyle w:val="Compact"/>
              <w:jc w:val="left"/>
            </w:pPr>
            <w:r>
              <w:t xml:space="preserve">02</w:t>
            </w:r>
          </w:p>
        </w:tc>
        <w:tc>
          <w:tcPr/>
          <w:p>
            <w:pPr>
              <w:pStyle w:val="Compact"/>
              <w:jc w:val="left"/>
            </w:pPr>
            <w:r>
              <w:t xml:space="preserve">Location Scouting &amp; Site Surveys in Bogotá D.C. (including La Candelaria, Chapinero, Usaquén, and surrounding municipalities)</w:t>
            </w:r>
          </w:p>
        </w:tc>
        <w:tc>
          <w:tcPr/>
          <w:p>
            <w:pPr>
              <w:pStyle w:val="Compact"/>
              <w:jc w:val="left"/>
            </w:pPr>
            <w:r>
              <w:t xml:space="preserve">3 days</w:t>
            </w:r>
          </w:p>
        </w:tc>
        <w:tc>
          <w:tcPr/>
          <w:p>
            <w:pPr>
              <w:pStyle w:val="Compact"/>
              <w:jc w:val="left"/>
            </w:pPr>
            <w:r>
              <w:t xml:space="preserve">1,500,000</w:t>
            </w:r>
          </w:p>
        </w:tc>
        <w:tc>
          <w:tcPr/>
          <w:p>
            <w:pPr>
              <w:pStyle w:val="Compact"/>
              <w:jc w:val="left"/>
            </w:pPr>
            <w:r>
              <w:t xml:space="preserve">4,500,000</w:t>
            </w:r>
          </w:p>
        </w:tc>
      </w:tr>
      <w:tr>
        <w:tc>
          <w:tcPr/>
          <w:p>
            <w:pPr>
              <w:pStyle w:val="Compact"/>
              <w:jc w:val="left"/>
            </w:pPr>
            <w:r>
              <w:t xml:space="preserve">03</w:t>
            </w:r>
          </w:p>
        </w:tc>
        <w:tc>
          <w:tcPr/>
          <w:p>
            <w:pPr>
              <w:pStyle w:val="Compact"/>
              <w:jc w:val="left"/>
            </w:pPr>
            <w:r>
              <w:t xml:space="preserve">Principal Photography Direction (Film Director on set, full creative and technical supervision, actor direction, camera movement design)</w:t>
            </w:r>
          </w:p>
        </w:tc>
        <w:tc>
          <w:tcPr/>
          <w:p>
            <w:pPr>
              <w:pStyle w:val="Compact"/>
              <w:jc w:val="left"/>
            </w:pPr>
            <w:r>
              <w:t xml:space="preserve">10 shooting days</w:t>
            </w:r>
          </w:p>
        </w:tc>
        <w:tc>
          <w:tcPr/>
          <w:p>
            <w:pPr>
              <w:pStyle w:val="Compact"/>
              <w:jc w:val="left"/>
            </w:pPr>
            <w:r>
              <w:t xml:space="preserve">4,200,000</w:t>
            </w:r>
          </w:p>
        </w:tc>
        <w:tc>
          <w:tcPr/>
          <w:p>
            <w:pPr>
              <w:pStyle w:val="Compact"/>
              <w:jc w:val="left"/>
            </w:pPr>
            <w:r>
              <w:t xml:space="preserve">42,000,000</w:t>
            </w:r>
          </w:p>
        </w:tc>
      </w:tr>
      <w:tr>
        <w:tc>
          <w:tcPr/>
          <w:p>
            <w:pPr>
              <w:pStyle w:val="Compact"/>
              <w:jc w:val="left"/>
            </w:pPr>
            <w:r>
              <w:t xml:space="preserve">04</w:t>
            </w:r>
          </w:p>
        </w:tc>
        <w:tc>
          <w:tcPr/>
          <w:p>
            <w:pPr>
              <w:pStyle w:val="Compact"/>
              <w:jc w:val="left"/>
            </w:pPr>
            <w:r>
              <w:t xml:space="preserve">Second Unit Direction &amp; Insert Shots (Film Director oversight of secondary sequences)</w:t>
            </w:r>
          </w:p>
        </w:tc>
        <w:tc>
          <w:tcPr/>
          <w:p>
            <w:pPr>
              <w:pStyle w:val="Compact"/>
              <w:jc w:val="left"/>
            </w:pPr>
            <w:r>
              <w:t xml:space="preserve">3 days</w:t>
            </w:r>
          </w:p>
        </w:tc>
        <w:tc>
          <w:tcPr/>
          <w:p>
            <w:pPr>
              <w:pStyle w:val="Compact"/>
              <w:jc w:val="left"/>
            </w:pPr>
            <w:r>
              <w:t xml:space="preserve">2,500,000</w:t>
            </w:r>
          </w:p>
        </w:tc>
        <w:tc>
          <w:tcPr/>
          <w:p>
            <w:pPr>
              <w:pStyle w:val="Compact"/>
              <w:jc w:val="left"/>
            </w:pPr>
            <w:r>
              <w:t xml:space="preserve">7,500,000</w:t>
            </w:r>
          </w:p>
        </w:tc>
      </w:tr>
      <w:tr>
        <w:tc>
          <w:tcPr/>
          <w:p>
            <w:pPr>
              <w:pStyle w:val="Compact"/>
              <w:jc w:val="left"/>
            </w:pPr>
            <w:r>
              <w:t xml:space="preserve">05</w:t>
            </w:r>
          </w:p>
        </w:tc>
        <w:tc>
          <w:tcPr/>
          <w:p>
            <w:pPr>
              <w:pStyle w:val="Compact"/>
              <w:jc w:val="left"/>
            </w:pPr>
            <w:r>
              <w:t xml:space="preserve">Post-Production Supervision (Film Director review of dailies, editorial guidance, color grading sessions, final cut approval)</w:t>
            </w:r>
          </w:p>
        </w:tc>
        <w:tc>
          <w:tcPr/>
          <w:p>
            <w:pPr>
              <w:pStyle w:val="Compact"/>
              <w:jc w:val="left"/>
            </w:pPr>
            <w:r>
              <w:t xml:space="preserve">8 days</w:t>
            </w:r>
          </w:p>
        </w:tc>
        <w:tc>
          <w:tcPr/>
          <w:p>
            <w:pPr>
              <w:pStyle w:val="Compact"/>
              <w:jc w:val="left"/>
            </w:pPr>
            <w:r>
              <w:t xml:space="preserve">1,800,000</w:t>
            </w:r>
          </w:p>
        </w:tc>
        <w:tc>
          <w:tcPr/>
          <w:p>
            <w:pPr>
              <w:pStyle w:val="Compact"/>
              <w:jc w:val="left"/>
            </w:pPr>
            <w:r>
              <w:t xml:space="preserve">14,400,000</w:t>
            </w:r>
          </w:p>
        </w:tc>
      </w:tr>
      <w:tr>
        <w:tc>
          <w:tcPr/>
          <w:p>
            <w:pPr>
              <w:pStyle w:val="Compact"/>
              <w:jc w:val="left"/>
            </w:pPr>
            <w:r>
              <w:t xml:space="preserve">06</w:t>
            </w:r>
          </w:p>
        </w:tc>
        <w:tc>
          <w:tcPr/>
          <w:p>
            <w:pPr>
              <w:pStyle w:val="Compact"/>
              <w:jc w:val="left"/>
            </w:pPr>
            <w:r>
              <w:t xml:space="preserve">Sound Design &amp; Music Supervision (Film Director collaboration with sound team, final mix approval)</w:t>
            </w:r>
          </w:p>
        </w:tc>
        <w:tc>
          <w:tcPr/>
          <w:p>
            <w:pPr>
              <w:pStyle w:val="Compact"/>
              <w:jc w:val="left"/>
            </w:pPr>
            <w:r>
              <w:t xml:space="preserve">4 days</w:t>
            </w:r>
          </w:p>
        </w:tc>
        <w:tc>
          <w:tcPr/>
          <w:p>
            <w:pPr>
              <w:pStyle w:val="Compact"/>
              <w:jc w:val="left"/>
            </w:pPr>
            <w:r>
              <w:t xml:space="preserve">1,200,000</w:t>
            </w:r>
          </w:p>
        </w:tc>
        <w:tc>
          <w:tcPr/>
          <w:p>
            <w:pPr>
              <w:pStyle w:val="Compact"/>
              <w:jc w:val="left"/>
            </w:pPr>
            <w:r>
              <w:t xml:space="preserve">4,800,000</w:t>
            </w:r>
          </w:p>
        </w:tc>
      </w:tr>
      <w:tr>
        <w:tc>
          <w:tcPr/>
          <w:p>
            <w:pPr>
              <w:pStyle w:val="Compact"/>
              <w:jc w:val="left"/>
            </w:pPr>
            <w:r>
              <w:t xml:space="preserve">07</w:t>
            </w:r>
          </w:p>
        </w:tc>
        <w:tc>
          <w:tcPr/>
          <w:p>
            <w:pPr>
              <w:pStyle w:val="Compact"/>
              <w:jc w:val="left"/>
            </w:pPr>
            <w:r>
              <w:t xml:space="preserve">Final Delivery &amp; Mastering (DCP, ProRes 4K, H.264 deliverables; Film Director final sign-off)</w:t>
            </w:r>
          </w:p>
        </w:tc>
        <w:tc>
          <w:tcPr/>
          <w:p>
            <w:pPr>
              <w:pStyle w:val="Compact"/>
              <w:jc w:val="left"/>
            </w:pPr>
            <w:r>
              <w:t xml:space="preserve">1 package</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08</w:t>
            </w:r>
          </w:p>
        </w:tc>
        <w:tc>
          <w:tcPr/>
          <w:p>
            <w:pPr>
              <w:pStyle w:val="Compact"/>
              <w:jc w:val="left"/>
            </w:pPr>
            <w:r>
              <w:t xml:space="preserve">Permit Coordination &amp; Regulatory Compliance (Bogotá city filming permits, traffic control, noise permits, local authority liaison)</w:t>
            </w:r>
          </w:p>
        </w:tc>
        <w:tc>
          <w:tcPr/>
          <w:p>
            <w:pPr>
              <w:pStyle w:val="Compact"/>
              <w:jc w:val="left"/>
            </w:pPr>
            <w:r>
              <w:t xml:space="preserve">1 package</w:t>
            </w:r>
          </w:p>
        </w:tc>
        <w:tc>
          <w:tcPr/>
          <w:p>
            <w:pPr>
              <w:pStyle w:val="Compact"/>
              <w:jc w:val="left"/>
            </w:pPr>
            <w:r>
              <w:t xml:space="preserve">2,200,000</w:t>
            </w:r>
          </w:p>
        </w:tc>
        <w:tc>
          <w:tcPr/>
          <w:p>
            <w:pPr>
              <w:pStyle w:val="Compact"/>
              <w:jc w:val="left"/>
            </w:pPr>
            <w:r>
              <w:t xml:space="preserve">2,200,000</w:t>
            </w:r>
          </w:p>
        </w:tc>
      </w:tr>
      <w:tr>
        <w:tc>
          <w:tcPr/>
          <w:p>
            <w:pPr>
              <w:pStyle w:val="Compact"/>
              <w:jc w:val="left"/>
            </w:pPr>
            <w:r>
              <w:t xml:space="preserve">09</w:t>
            </w:r>
          </w:p>
        </w:tc>
        <w:tc>
          <w:tcPr/>
          <w:p>
            <w:pPr>
              <w:pStyle w:val="Compact"/>
              <w:jc w:val="left"/>
            </w:pPr>
            <w:r>
              <w:t xml:space="preserve">Contingency &amp; Weather Buffer (Bogotá seasonal rain provisions, schedule adjustments)</w:t>
            </w:r>
          </w:p>
        </w:tc>
        <w:tc>
          <w:tcPr/>
          <w:p>
            <w:pPr>
              <w:pStyle w:val="Compact"/>
              <w:jc w:val="left"/>
            </w:pPr>
            <w:r>
              <w:t xml:space="preserve">2 days</w:t>
            </w:r>
          </w:p>
        </w:tc>
        <w:tc>
          <w:tcPr/>
          <w:p>
            <w:pPr>
              <w:pStyle w:val="Compact"/>
              <w:jc w:val="left"/>
            </w:pPr>
            <w:r>
              <w:t xml:space="preserve">2,000,000</w:t>
            </w:r>
          </w:p>
        </w:tc>
        <w:tc>
          <w:tcPr/>
          <w:p>
            <w:pPr>
              <w:pStyle w:val="Compact"/>
              <w:jc w:val="left"/>
            </w:pPr>
            <w:r>
              <w:t xml:space="preserve">4,000,000</w:t>
            </w:r>
          </w:p>
        </w:tc>
      </w:tr>
      <w:tr>
        <w:tc>
          <w:tcPr>
            <w:gridSpan w:val="4"/>
          </w:tcPr>
          <w:p>
            <w:pPr>
              <w:pStyle w:val="Compact"/>
              <w:jc w:val="left"/>
            </w:pPr>
            <w:r>
              <w:t xml:space="preserve">SUBTOTAL (COP)</w:t>
            </w:r>
          </w:p>
        </w:tc>
        <w:tc>
          <w:tcPr/>
          <w:p>
            <w:pPr>
              <w:pStyle w:val="Compact"/>
              <w:jc w:val="left"/>
            </w:pPr>
            <w:r>
              <w:t xml:space="preserve">96,900,000</w:t>
            </w:r>
          </w:p>
        </w:tc>
      </w:tr>
      <w:tr>
        <w:tc>
          <w:tcPr>
            <w:gridSpan w:val="4"/>
          </w:tcPr>
          <w:p>
            <w:pPr>
              <w:pStyle w:val="Compact"/>
              <w:jc w:val="left"/>
            </w:pPr>
            <w:r>
              <w:t xml:space="preserve">IVA (19% Colombian Value Added Tax)</w:t>
            </w:r>
          </w:p>
        </w:tc>
        <w:tc>
          <w:tcPr/>
          <w:p>
            <w:pPr>
              <w:pStyle w:val="Compact"/>
              <w:jc w:val="left"/>
            </w:pPr>
            <w:r>
              <w:t xml:space="preserve">18,411,000</w:t>
            </w:r>
          </w:p>
        </w:tc>
      </w:tr>
      <w:tr>
        <w:tc>
          <w:tcPr>
            <w:gridSpan w:val="4"/>
          </w:tcPr>
          <w:p>
            <w:pPr>
              <w:pStyle w:val="Compact"/>
              <w:jc w:val="left"/>
            </w:pPr>
            <w:r>
              <w:t xml:space="preserve">GRAND TOTAL (COP)</w:t>
            </w:r>
          </w:p>
        </w:tc>
        <w:tc>
          <w:tcPr/>
          <w:p>
            <w:pPr>
              <w:pStyle w:val="Compact"/>
              <w:jc w:val="left"/>
            </w:pPr>
            <w:r>
              <w:t xml:space="preserve">115,311,000</w:t>
            </w:r>
          </w:p>
        </w:tc>
      </w:tr>
    </w:tbl>
    <w:bookmarkEnd w:id="24"/>
    <w:bookmarkStart w:id="25" w:name="payment-schedule"/>
    <w:p>
      <w:pPr>
        <w:pStyle w:val="Heading2"/>
      </w:pPr>
      <w:r>
        <w:t xml:space="preserve">Payment Schedule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(COP)</w:t>
            </w:r>
          </w:p>
        </w:tc>
        <w:tc>
          <w:tcPr/>
          <w:p>
            <w:pPr>
              <w:pStyle w:val="Compact"/>
              <w:jc w:val="left"/>
            </w:pPr>
            <w:r>
              <w:t xml:space="preserve">Due Date</w:t>
            </w:r>
          </w:p>
        </w:tc>
      </w:tr>
      <w:tr>
        <w:tc>
          <w:tcPr/>
          <w:p>
            <w:pPr>
              <w:pStyle w:val="Compact"/>
              <w:jc w:val="left"/>
            </w:pPr>
            <w:r>
              <w:t xml:space="preserve">Contract Signing &amp; Pre-Production Commencement</w:t>
            </w:r>
          </w:p>
        </w:tc>
        <w:tc>
          <w:tcPr/>
          <w:p>
            <w:pPr>
              <w:pStyle w:val="Compact"/>
              <w:jc w:val="left"/>
            </w:pPr>
            <w:r>
              <w:t xml:space="preserve">30%</w:t>
            </w:r>
          </w:p>
        </w:tc>
        <w:tc>
          <w:tcPr/>
          <w:p>
            <w:pPr>
              <w:pStyle w:val="Compact"/>
              <w:jc w:val="left"/>
            </w:pPr>
            <w:r>
              <w:t xml:space="preserve">34,593,300</w:t>
            </w:r>
          </w:p>
        </w:tc>
        <w:tc>
          <w:tcPr/>
          <w:p>
            <w:pPr>
              <w:pStyle w:val="Compact"/>
              <w:jc w:val="left"/>
            </w:pPr>
            <w:r>
              <w:t xml:space="preserve">Within 5 business days of acceptance</w:t>
            </w:r>
          </w:p>
        </w:tc>
      </w:tr>
      <w:tr>
        <w:tc>
          <w:tcPr/>
          <w:p>
            <w:pPr>
              <w:pStyle w:val="Compact"/>
              <w:jc w:val="left"/>
            </w:pPr>
            <w:r>
              <w:t xml:space="preserve">Start of Principal Photography</w:t>
            </w:r>
          </w:p>
        </w:tc>
        <w:tc>
          <w:tcPr/>
          <w:p>
            <w:pPr>
              <w:pStyle w:val="Compact"/>
              <w:jc w:val="left"/>
            </w:pPr>
            <w:r>
              <w:t xml:space="preserve">40%</w:t>
            </w:r>
          </w:p>
        </w:tc>
        <w:tc>
          <w:tcPr/>
          <w:p>
            <w:pPr>
              <w:pStyle w:val="Compact"/>
              <w:jc w:val="left"/>
            </w:pPr>
            <w:r>
              <w:t xml:space="preserve">46,124,400</w:t>
            </w:r>
          </w:p>
        </w:tc>
        <w:tc>
          <w:tcPr/>
          <w:p>
            <w:pPr>
              <w:pStyle w:val="Compact"/>
              <w:jc w:val="left"/>
            </w:pPr>
            <w:r>
              <w:t xml:space="preserve">Day 1 of shooting schedule</w:t>
            </w:r>
          </w:p>
        </w:tc>
      </w:tr>
      <w:tr>
        <w:tc>
          <w:tcPr/>
          <w:p>
            <w:pPr>
              <w:pStyle w:val="Compact"/>
              <w:jc w:val="left"/>
            </w:pPr>
            <w:r>
              <w:t xml:space="preserve">Completion of Post-Production &amp; Final Delivery</w:t>
            </w:r>
          </w:p>
        </w:tc>
        <w:tc>
          <w:tcPr/>
          <w:p>
            <w:pPr>
              <w:pStyle w:val="Compact"/>
              <w:jc w:val="left"/>
            </w:pPr>
            <w:r>
              <w:t xml:space="preserve">30%</w:t>
            </w:r>
          </w:p>
        </w:tc>
        <w:tc>
          <w:tcPr/>
          <w:p>
            <w:pPr>
              <w:pStyle w:val="Compact"/>
              <w:jc w:val="left"/>
            </w:pPr>
            <w:r>
              <w:t xml:space="preserve">34,593,300</w:t>
            </w:r>
          </w:p>
        </w:tc>
        <w:tc>
          <w:tcPr/>
          <w:p>
            <w:pPr>
              <w:pStyle w:val="Compact"/>
              <w:jc w:val="left"/>
            </w:pPr>
            <w:r>
              <w:t xml:space="preserve">Upon Film Director final approval</w:t>
            </w:r>
          </w:p>
        </w:tc>
      </w:tr>
    </w:tbl>
    <w:bookmarkEnd w:id="25"/>
    <w:bookmarkStart w:id="26" w:name="terms-and-conditions"/>
    <w:p>
      <w:pPr>
        <w:pStyle w:val="Heading2"/>
      </w:pPr>
      <w:r>
        <w:t xml:space="preserve">Terms and Conditions</w:t>
      </w:r>
    </w:p>
    <w:p>
      <w:pPr>
        <w:numPr>
          <w:ilvl w:val="0"/>
          <w:numId w:val="1001"/>
        </w:numPr>
        <w:pStyle w:val="Compact"/>
      </w:pPr>
      <w:r>
        <w:t xml:space="preserve">This Quotation Estimate is valid for thirty (30) calendar days from the date of issue. After the expiration date, all prices and availability of the Film Director are subject to revision.</w:t>
      </w:r>
    </w:p>
    <w:p>
      <w:pPr>
        <w:numPr>
          <w:ilvl w:val="0"/>
          <w:numId w:val="1001"/>
        </w:numPr>
        <w:pStyle w:val="Compact"/>
      </w:pPr>
      <w:r>
        <w:t xml:space="preserve">All prices are quoted in Colombian Pesos (COP) and include the applicable 19% IVA as mandated by the Colombian National Tax Authority (DIAN).</w:t>
      </w:r>
    </w:p>
    <w:p>
      <w:pPr>
        <w:numPr>
          <w:ilvl w:val="0"/>
          <w:numId w:val="1001"/>
        </w:numPr>
        <w:pStyle w:val="Compact"/>
      </w:pPr>
      <w:r>
        <w:t xml:space="preserve">The Film Director's availability is confirmed only upon receipt of the initial 30% payment and full execution of the production agreement.</w:t>
      </w:r>
    </w:p>
    <w:p>
      <w:pPr>
        <w:numPr>
          <w:ilvl w:val="0"/>
          <w:numId w:val="1001"/>
        </w:numPr>
        <w:pStyle w:val="Compact"/>
      </w:pPr>
      <w:r>
        <w:t xml:space="preserve">Any changes to the shooting schedule, location modifications within Bogotá or its surrounding areas, or scope alterations beyond the agreed number of shooting days will be subject to a revised Quotation Estimate issued within five (5) business days.</w:t>
      </w:r>
    </w:p>
    <w:p>
      <w:pPr>
        <w:numPr>
          <w:ilvl w:val="0"/>
          <w:numId w:val="1001"/>
        </w:numPr>
        <w:pStyle w:val="Compact"/>
      </w:pPr>
      <w:r>
        <w:t xml:space="preserve">CineAndina Productions S.A.S. is responsible for coordinating all filming permits required by the Alcaldía Mayor de Bogotá and relevant local authorities. The Client is responsible for providing all necessary documentation and access rights to private properties.</w:t>
      </w:r>
    </w:p>
    <w:p>
      <w:pPr>
        <w:numPr>
          <w:ilvl w:val="0"/>
          <w:numId w:val="1001"/>
        </w:numPr>
        <w:pStyle w:val="Compact"/>
      </w:pPr>
      <w:r>
        <w:t xml:space="preserve">The Film Director retains full creative authority over artistic decisions during production. Final approval of the completed work rests with the Client, subject to the creative parameters established during pre-production.</w:t>
      </w:r>
    </w:p>
    <w:p>
      <w:pPr>
        <w:numPr>
          <w:ilvl w:val="0"/>
          <w:numId w:val="1001"/>
        </w:numPr>
        <w:pStyle w:val="Compact"/>
      </w:pPr>
      <w:r>
        <w:t xml:space="preserve">Intellectual property of the final delivered work shall transfer to the Client upon full payment. The Film Director and CineAndina Productions retain the right to use stills, behind-the-scenes footage, and excerpts for portfolio and promotional purposes, with prior written notice to the Client.</w:t>
      </w:r>
    </w:p>
    <w:p>
      <w:pPr>
        <w:numPr>
          <w:ilvl w:val="0"/>
          <w:numId w:val="1001"/>
        </w:numPr>
        <w:pStyle w:val="Compact"/>
      </w:pPr>
      <w:r>
        <w:t xml:space="preserve">This Quotation Estimate does not constitute a binding contract. A formal Production Agreement, governed by the laws of the Republic of Colombia, must be executed by both parties prior to the commencement of any services.</w:t>
      </w:r>
    </w:p>
    <w:p>
      <w:pPr>
        <w:numPr>
          <w:ilvl w:val="0"/>
          <w:numId w:val="1001"/>
        </w:numPr>
        <w:pStyle w:val="Compact"/>
      </w:pPr>
      <w:r>
        <w:t xml:space="preserve">Force majeure events, including but not limited to natural disasters, government-mandated shutdowns, or public health emergencies affecting Bogotá, shall suspend obligations without penalty to either party.</w:t>
      </w:r>
    </w:p>
    <w:p>
      <w:pPr>
        <w:numPr>
          <w:ilvl w:val="0"/>
          <w:numId w:val="1001"/>
        </w:numPr>
        <w:pStyle w:val="Compact"/>
      </w:pPr>
      <w:r>
        <w:t xml:space="preserve">Disputes arising from this engagement shall be resolved through mediation in Bogotá D.C., Colombia, in accordance with the Colombian Commercial Code.</w:t>
      </w:r>
    </w:p>
    <w:bookmarkEnd w:id="26"/>
    <w:bookmarkStart w:id="27" w:name="acceptance"/>
    <w:p>
      <w:pPr>
        <w:pStyle w:val="Heading2"/>
      </w:pPr>
      <w:r>
        <w:t xml:space="preserve">Acceptance</w:t>
      </w:r>
    </w:p>
    <w:p>
      <w:pPr>
        <w:pStyle w:val="FirstParagraph"/>
      </w:pPr>
      <w:r>
        <w:t xml:space="preserve">By signing below, the Client acknowledges receipt of this Quotation Estimate for Film Director services in Colombia, Bogotá, and agrees to the terms, conditions, and pricing outlined herein. This acceptance authorizes CineAndina Productions S.A.S. to reserve the Film Director's schedule and commence pre-production activities.</w:t>
      </w:r>
    </w:p>
    <w:p>
      <w:pPr>
        <w:pStyle w:val="BodyText"/>
      </w:pPr>
      <w:r>
        <w:rPr>
          <w:bCs/>
          <w:b/>
        </w:rPr>
        <w:t xml:space="preserve">For CineAndina Productions S.A.S.</w:t>
      </w:r>
    </w:p>
    <w:p>
      <w:pPr>
        <w:pStyle w:val="BodyText"/>
      </w:pPr>
      <w:r>
        <w:t xml:space="preserve">Name: ___________________________</w:t>
      </w:r>
    </w:p>
    <w:p>
      <w:pPr>
        <w:pStyle w:val="BodyText"/>
      </w:pPr>
      <w:r>
        <w:t xml:space="preserve">Title: General Manager</w:t>
      </w:r>
    </w:p>
    <w:p>
      <w:pPr>
        <w:pStyle w:val="BodyText"/>
      </w:pPr>
      <w:r>
        <w:t xml:space="preserve">Signature: _________________________</w:t>
      </w:r>
    </w:p>
    <w:p>
      <w:pPr>
        <w:pStyle w:val="BodyText"/>
      </w:pPr>
      <w:r>
        <w:t xml:space="preserve">Date: ____________________________</w:t>
      </w:r>
    </w:p>
    <w:p>
      <w:pPr>
        <w:pStyle w:val="BodyText"/>
      </w:pPr>
      <w:r>
        <w:rPr>
          <w:bCs/>
          <w:b/>
        </w:rPr>
        <w:t xml:space="preserve">For the Client</w:t>
      </w:r>
    </w:p>
    <w:p>
      <w:pPr>
        <w:pStyle w:val="BodyText"/>
      </w:pPr>
      <w:r>
        <w:t xml:space="preserve">Name: ___________________________</w:t>
      </w:r>
    </w:p>
    <w:p>
      <w:pPr>
        <w:pStyle w:val="BodyText"/>
      </w:pPr>
      <w:r>
        <w:t xml:space="preserve">Title: ____________________________</w:t>
      </w:r>
    </w:p>
    <w:p>
      <w:pPr>
        <w:pStyle w:val="BodyText"/>
      </w:pPr>
      <w:r>
        <w:t xml:space="preserve">Signature: _________________________</w:t>
      </w:r>
    </w:p>
    <w:p>
      <w:pPr>
        <w:pStyle w:val="BodyText"/>
      </w:pPr>
      <w:r>
        <w:t xml:space="preserve">Date: ____________________________</w:t>
      </w:r>
    </w:p>
    <w:p>
      <w:pPr>
        <w:pStyle w:val="BodyText"/>
      </w:pPr>
      <w:r>
        <w:t xml:space="preserve">CineAndina Productions S.A.S. — Quotation Estimate QE-2025-04871 — Film Director Services — Colombia, Bogotá D.C.</w:t>
      </w:r>
    </w:p>
    <w:p>
      <w:pPr>
        <w:pStyle w:val="BodyText"/>
      </w:pPr>
      <w:r>
        <w:t xml:space="preserve">This document is generated electronically and is valid without a physical stamp. For inquiries, contact quotes@cineandina.co or +57 (601) 555 0142.</w:t>
      </w:r>
    </w:p>
    <w:p>
      <w:pPr>
        <w:pStyle w:val="BodyText"/>
      </w:pPr>
      <w:r>
        <w:t xml:space="preserve">© 2025 CineAndina Productions S.A.S. All rights reserved. NIT: 901.234.567-8 | Bogotá, Colombia</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Film Director Services - Colombia Bogotá</dc:title>
  <dc:creator/>
  <dc:language>en</dc:language>
  <cp:keywords/>
  <dcterms:created xsi:type="dcterms:W3CDTF">2026-10-10T03:18:42Z</dcterms:created>
  <dcterms:modified xsi:type="dcterms:W3CDTF">2026-10-10T03:18:42Z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