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Argentina Córdoba — Provincial Capital Region</w:t>
      </w:r>
    </w:p>
    <w:p>
      <w:pPr>
        <w:pStyle w:val="BodyText"/>
      </w:pPr>
      <w:r>
        <w:t xml:space="preserve">Document Reference: QE-FC-2025-0472</w:t>
      </w:r>
    </w:p>
    <w:bookmarkEnd w:id="20"/>
    <w:p>
      <w:pPr>
        <w:pStyle w:val="BodyText"/>
      </w:pPr>
      <w:r>
        <w:rPr>
          <w:bCs/>
          <w:b/>
        </w:rPr>
        <w:t xml:space="preserve">Date of Issue:</w:t>
      </w:r>
      <w:r>
        <w:br/>
      </w:r>
      <w:r>
        <w:t xml:space="preserve">June 15, 2025</w:t>
      </w:r>
    </w:p>
    <w:p>
      <w:pPr>
        <w:pStyle w:val="BodyText"/>
      </w:pPr>
      <w:r>
        <w:rPr>
          <w:bCs/>
          <w:b/>
        </w:rPr>
        <w:t xml:space="preserve">Valid Until:</w:t>
      </w:r>
      <w:r>
        <w:br/>
      </w:r>
      <w:r>
        <w:t xml:space="preserve">July 15, 2025</w:t>
      </w:r>
    </w:p>
    <w:p>
      <w:pPr>
        <w:pStyle w:val="BodyText"/>
      </w:pPr>
      <w:r>
        <w:rPr>
          <w:bCs/>
          <w:b/>
        </w:rPr>
        <w:t xml:space="preserve">Prepared For:</w:t>
      </w:r>
      <w:r>
        <w:br/>
      </w:r>
      <w:r>
        <w:t xml:space="preserve">Client Organization</w:t>
      </w:r>
    </w:p>
    <w:p>
      <w:pPr>
        <w:pStyle w:val="BodyText"/>
      </w:pPr>
      <w:r>
        <w:rPr>
          <w:bCs/>
          <w:b/>
        </w:rPr>
        <w:t xml:space="preserve">Prepared By:</w:t>
      </w:r>
      <w:r>
        <w:br/>
      </w:r>
      <w:r>
        <w:t xml:space="preserve">Professional Services Division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engagement of a qualified</w:t>
      </w:r>
      <w:r>
        <w:t xml:space="preserve"> </w:t>
      </w:r>
      <w:r>
        <w:t xml:space="preserve">Financial Analyst</w:t>
      </w:r>
      <w:r>
        <w:t xml:space="preserve"> </w:t>
      </w:r>
      <w:r>
        <w:t xml:space="preserve">to deliver specialized advisory and analytical services within the jurisdiction of</w:t>
      </w:r>
      <w:r>
        <w:t xml:space="preserve"> </w:t>
      </w:r>
      <w:r>
        <w:t xml:space="preserve">Argentina Córdoba</w:t>
      </w:r>
      <w:r>
        <w:t xml:space="preserve">. The purpose of this Quotation Estimate is to outline the scope of work, deliverables, professional fees, and applicable terms governing the engagement. All pricing presented herein reflects current market rates for Financial Analyst professionals operating in the Argentina Córdoba metropolitan area and its surrounding provincial regions, taking into account local economic conditions, regulatory requirements, and the specific demands of the Argentine financial sector.</w:t>
      </w:r>
    </w:p>
    <w:p>
      <w:pPr>
        <w:pStyle w:val="BodyText"/>
      </w:pPr>
      <w:r>
        <w:t xml:space="preserve">This Quotation Estimate is issued in accordance with the professional standards established by the Argentine Chamber of Commerce and the applicable regulations of the Comisión Nacional de Valores (CNV) for financial advisory services rendered in the province of Córdoba, Argentina.</w:t>
      </w:r>
    </w:p>
    <w:bookmarkEnd w:id="21"/>
    <w:bookmarkStart w:id="24"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 Quotation Estimate will provide the following professional services tailored to the operational and strategic needs of the client within the Argentina Córdoba business environment:</w:t>
      </w:r>
    </w:p>
    <w:bookmarkStart w:id="22" w:name="core-analytical-services"/>
    <w:p>
      <w:pPr>
        <w:pStyle w:val="Heading3"/>
      </w:pPr>
      <w:r>
        <w:t xml:space="preserve">2.1 Core Analytical Services</w:t>
      </w:r>
    </w:p>
    <w:p>
      <w:pPr>
        <w:numPr>
          <w:ilvl w:val="0"/>
          <w:numId w:val="1001"/>
        </w:numPr>
        <w:pStyle w:val="Compact"/>
      </w:pPr>
      <w:r>
        <w:t xml:space="preserve">Comprehensive financial modeling and forecasting aligned with Argentine fiscal regulations and the Córdoba provincial tax framework.</w:t>
      </w:r>
    </w:p>
    <w:p>
      <w:pPr>
        <w:numPr>
          <w:ilvl w:val="0"/>
          <w:numId w:val="1001"/>
        </w:numPr>
        <w:pStyle w:val="Compact"/>
      </w:pPr>
      <w:r>
        <w:t xml:space="preserve">Preparation of monthly, quarterly, and annual financial statements in compliance with IFRS standards and local Argentine accounting norms (Normas de Contabilidad).</w:t>
      </w:r>
    </w:p>
    <w:p>
      <w:pPr>
        <w:numPr>
          <w:ilvl w:val="0"/>
          <w:numId w:val="1001"/>
        </w:numPr>
        <w:pStyle w:val="Compact"/>
      </w:pPr>
      <w:r>
        <w:t xml:space="preserve">Capital structure analysis and cost of capital assessments specific to the Argentina Córdoba market conditions.</w:t>
      </w:r>
    </w:p>
    <w:p>
      <w:pPr>
        <w:numPr>
          <w:ilvl w:val="0"/>
          <w:numId w:val="1001"/>
        </w:numPr>
        <w:pStyle w:val="Compact"/>
      </w:pPr>
      <w:r>
        <w:t xml:space="preserve">Valuation of assets, liabilities, and business units using DCF, comparable company, and precedent transaction methodologies.</w:t>
      </w:r>
    </w:p>
    <w:p>
      <w:pPr>
        <w:numPr>
          <w:ilvl w:val="0"/>
          <w:numId w:val="1001"/>
        </w:numPr>
        <w:pStyle w:val="Compact"/>
      </w:pPr>
      <w:r>
        <w:t xml:space="preserve">Risk assessment and mitigation strategies addressing currency volatility (ARS/USD), inflation adjustments, and regulatory changes in Argentina.</w:t>
      </w:r>
    </w:p>
    <w:bookmarkEnd w:id="22"/>
    <w:bookmarkStart w:id="23" w:name="strategic-advisory-services"/>
    <w:p>
      <w:pPr>
        <w:pStyle w:val="Heading3"/>
      </w:pPr>
      <w:r>
        <w:t xml:space="preserve">2.2 Strategic Advisory Services</w:t>
      </w:r>
    </w:p>
    <w:p>
      <w:pPr>
        <w:numPr>
          <w:ilvl w:val="0"/>
          <w:numId w:val="1002"/>
        </w:numPr>
        <w:pStyle w:val="Compact"/>
      </w:pPr>
      <w:r>
        <w:t xml:space="preserve">Due diligence support for mergers, acquisitions, and joint ventures within the Córdoba industrial and commercial corridor.</w:t>
      </w:r>
    </w:p>
    <w:p>
      <w:pPr>
        <w:numPr>
          <w:ilvl w:val="0"/>
          <w:numId w:val="1002"/>
        </w:numPr>
        <w:pStyle w:val="Compact"/>
      </w:pPr>
      <w:r>
        <w:t xml:space="preserve">Budget preparation and variance analysis for operational planning in the Argentina Córdoba region.</w:t>
      </w:r>
    </w:p>
    <w:p>
      <w:pPr>
        <w:numPr>
          <w:ilvl w:val="0"/>
          <w:numId w:val="1002"/>
        </w:numPr>
        <w:pStyle w:val="Compact"/>
      </w:pPr>
      <w:r>
        <w:t xml:space="preserve">Investment committee presentations and board-level financial reporting.</w:t>
      </w:r>
    </w:p>
    <w:p>
      <w:pPr>
        <w:numPr>
          <w:ilvl w:val="0"/>
          <w:numId w:val="1002"/>
        </w:numPr>
        <w:pStyle w:val="Compact"/>
      </w:pPr>
      <w:r>
        <w:t xml:space="preserve">Regulatory compliance monitoring with the Banco Central de la República Argentina (BCRA) and local Córdoba municipal authorities.</w:t>
      </w:r>
    </w:p>
    <w:bookmarkEnd w:id="23"/>
    <w:bookmarkEnd w:id="24"/>
    <w:bookmarkStart w:id="25" w:name="professional-fee-schedule"/>
    <w:p>
      <w:pPr>
        <w:pStyle w:val="Heading2"/>
      </w:pPr>
      <w:r>
        <w:t xml:space="preserve">3. Professional Fee Schedule</w:t>
      </w:r>
    </w:p>
    <w:p>
      <w:pPr>
        <w:pStyle w:val="FirstParagraph"/>
      </w:pPr>
      <w:r>
        <w:t xml:space="preserve">The following fee schedule constitutes the core pricing component of this</w:t>
      </w:r>
      <w:r>
        <w:t xml:space="preserve"> </w:t>
      </w:r>
      <w:r>
        <w:t xml:space="preserve">Quotation Estimate</w:t>
      </w:r>
      <w:r>
        <w:t xml:space="preserve"> </w:t>
      </w:r>
      <w:r>
        <w:t xml:space="preserve">for the</w:t>
      </w:r>
      <w:r>
        <w:t xml:space="preserve"> </w:t>
      </w:r>
      <w:r>
        <w:t xml:space="preserve">Financial Analyst</w:t>
      </w:r>
      <w:r>
        <w:t xml:space="preserve"> </w:t>
      </w:r>
      <w:r>
        <w:t xml:space="preserve">services to be rendered in</w:t>
      </w:r>
      <w:r>
        <w:t xml:space="preserve"> </w:t>
      </w:r>
      <w:r>
        <w:t xml:space="preserve">Argentina Córdoba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Financial Modeling &amp; Forecasting</w:t>
            </w:r>
          </w:p>
        </w:tc>
        <w:tc>
          <w:tcPr/>
          <w:p>
            <w:pPr>
              <w:pStyle w:val="Compact"/>
              <w:jc w:val="left"/>
            </w:pPr>
            <w:r>
              <w:t xml:space="preserve">Monthly (12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Financial Statement Preparation &amp; Review</w:t>
            </w:r>
          </w:p>
        </w:tc>
        <w:tc>
          <w:tcPr/>
          <w:p>
            <w:pPr>
              <w:pStyle w:val="Compact"/>
              <w:jc w:val="left"/>
            </w:pPr>
            <w:r>
              <w:t xml:space="preserve">Quarterly (4 cycles)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Capital Structure &amp; Valuation Analysis</w:t>
            </w:r>
          </w:p>
        </w:tc>
        <w:tc>
          <w:tcPr/>
          <w:p>
            <w:pPr>
              <w:pStyle w:val="Compact"/>
              <w:jc w:val="left"/>
            </w:pPr>
            <w:r>
              <w:t xml:space="preserve">One-time engagement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Risk Assessment &amp; Currency Volatility Monitoring</w:t>
            </w:r>
          </w:p>
        </w:tc>
        <w:tc>
          <w:tcPr/>
          <w:p>
            <w:pPr>
              <w:pStyle w:val="Compact"/>
              <w:jc w:val="left"/>
            </w:pPr>
            <w:r>
              <w:t xml:space="preserve">Monthly (12 months)</w:t>
            </w:r>
          </w:p>
        </w:tc>
        <w:tc>
          <w:tcPr/>
          <w:p>
            <w:pPr>
              <w:pStyle w:val="Compact"/>
              <w:jc w:val="left"/>
            </w:pPr>
            <w:r>
              <w:t xml:space="preserve">$1,900</w:t>
            </w:r>
          </w:p>
        </w:tc>
        <w:tc>
          <w:tcPr/>
          <w:p>
            <w:pPr>
              <w:pStyle w:val="Compact"/>
              <w:jc w:val="left"/>
            </w:pPr>
            <w:r>
              <w:t xml:space="preserve">$22,800</w:t>
            </w:r>
          </w:p>
        </w:tc>
      </w:tr>
      <w:tr>
        <w:tc>
          <w:tcPr/>
          <w:p>
            <w:pPr>
              <w:pStyle w:val="Compact"/>
              <w:jc w:val="left"/>
            </w:pPr>
            <w:r>
              <w:t xml:space="preserve">Due Diligence &amp; M&amp;A Advisory Support</w:t>
            </w:r>
          </w:p>
        </w:tc>
        <w:tc>
          <w:tcPr/>
          <w:p>
            <w:pPr>
              <w:pStyle w:val="Compact"/>
              <w:jc w:val="left"/>
            </w:pPr>
            <w:r>
              <w:t xml:space="preserve">As required (est. 3 engagements)</w:t>
            </w:r>
          </w:p>
        </w:tc>
        <w:tc>
          <w:tcPr/>
          <w:p>
            <w:pPr>
              <w:pStyle w:val="Compact"/>
              <w:jc w:val="left"/>
            </w:pPr>
            <w:r>
              <w:t xml:space="preserve">$6,200</w:t>
            </w:r>
          </w:p>
        </w:tc>
        <w:tc>
          <w:tcPr/>
          <w:p>
            <w:pPr>
              <w:pStyle w:val="Compact"/>
              <w:jc w:val="left"/>
            </w:pPr>
            <w:r>
              <w:t xml:space="preserve">$18,600</w:t>
            </w:r>
          </w:p>
        </w:tc>
      </w:tr>
      <w:tr>
        <w:tc>
          <w:tcPr/>
          <w:p>
            <w:pPr>
              <w:pStyle w:val="Compact"/>
              <w:jc w:val="left"/>
            </w:pPr>
            <w:r>
              <w:t xml:space="preserve">Budget Planning &amp; Variance Analysis</w:t>
            </w:r>
          </w:p>
        </w:tc>
        <w:tc>
          <w:tcPr/>
          <w:p>
            <w:pPr>
              <w:pStyle w:val="Compact"/>
              <w:jc w:val="left"/>
            </w:pPr>
            <w:r>
              <w:t xml:space="preserve">Semi-annual (2 cycles)</w:t>
            </w:r>
          </w:p>
        </w:tc>
        <w:tc>
          <w:tcPr/>
          <w:p>
            <w:pPr>
              <w:pStyle w:val="Compact"/>
              <w:jc w:val="left"/>
            </w:pPr>
            <w:r>
              <w:t xml:space="preserve">$4,100</w:t>
            </w:r>
          </w:p>
        </w:tc>
        <w:tc>
          <w:tcPr/>
          <w:p>
            <w:pPr>
              <w:pStyle w:val="Compact"/>
              <w:jc w:val="left"/>
            </w:pPr>
            <w:r>
              <w:t xml:space="preserve">$8,200</w:t>
            </w:r>
          </w:p>
        </w:tc>
      </w:tr>
      <w:tr>
        <w:tc>
          <w:tcPr/>
          <w:p>
            <w:pPr>
              <w:pStyle w:val="Compact"/>
              <w:jc w:val="left"/>
            </w:pPr>
            <w:r>
              <w:t xml:space="preserve">Regulatory Compliance &amp; CNV/BCRA Reporting</w:t>
            </w:r>
          </w:p>
        </w:tc>
        <w:tc>
          <w:tcPr/>
          <w:p>
            <w:pPr>
              <w:pStyle w:val="Compact"/>
              <w:jc w:val="left"/>
            </w:pPr>
            <w:r>
              <w:t xml:space="preserve">Monthly (12 months)</w:t>
            </w:r>
          </w:p>
        </w:tc>
        <w:tc>
          <w:tcPr/>
          <w:p>
            <w:pPr>
              <w:pStyle w:val="Compact"/>
              <w:jc w:val="left"/>
            </w:pPr>
            <w:r>
              <w:t xml:space="preserve">$1,400</w:t>
            </w:r>
          </w:p>
        </w:tc>
        <w:tc>
          <w:tcPr/>
          <w:p>
            <w:pPr>
              <w:pStyle w:val="Compact"/>
              <w:jc w:val="left"/>
            </w:pPr>
            <w:r>
              <w:t xml:space="preserve">$16,800</w:t>
            </w:r>
          </w:p>
        </w:tc>
      </w:tr>
      <w:tr>
        <w:tc>
          <w:tcPr/>
          <w:p>
            <w:pPr>
              <w:pStyle w:val="Compact"/>
              <w:jc w:val="left"/>
            </w:pPr>
            <w:r>
              <w:t xml:space="preserve">Board Presentations &amp; Strategic Advisory</w:t>
            </w:r>
          </w:p>
        </w:tc>
        <w:tc>
          <w:tcPr/>
          <w:p>
            <w:pPr>
              <w:pStyle w:val="Compact"/>
              <w:jc w:val="left"/>
            </w:pPr>
            <w:r>
              <w:t xml:space="preserve">Quarterly (4 sessions)</w:t>
            </w:r>
          </w:p>
        </w:tc>
        <w:tc>
          <w:tcPr/>
          <w:p>
            <w:pPr>
              <w:pStyle w:val="Compact"/>
              <w:jc w:val="left"/>
            </w:pPr>
            <w:r>
              <w:t xml:space="preserve">$2,200</w:t>
            </w:r>
          </w:p>
        </w:tc>
        <w:tc>
          <w:tcPr/>
          <w:p>
            <w:pPr>
              <w:pStyle w:val="Compact"/>
              <w:jc w:val="left"/>
            </w:pPr>
            <w:r>
              <w:t xml:space="preserve">$8,800</w:t>
            </w:r>
          </w:p>
        </w:tc>
      </w:tr>
      <w:tr>
        <w:tc>
          <w:tcPr>
            <w:gridSpan w:val="3"/>
          </w:tcPr>
          <w:p>
            <w:pPr>
              <w:pStyle w:val="Compact"/>
              <w:jc w:val="left"/>
            </w:pPr>
            <w:r>
              <w:t xml:space="preserve">TOTAL ESTIMATED PROFESSIONAL FEES</w:t>
            </w:r>
          </w:p>
        </w:tc>
        <w:tc>
          <w:tcPr/>
          <w:p>
            <w:pPr>
              <w:pStyle w:val="Compact"/>
              <w:jc w:val="left"/>
            </w:pPr>
            <w:r>
              <w:t xml:space="preserve">$131,300</w:t>
            </w:r>
          </w:p>
        </w:tc>
      </w:tr>
    </w:tbl>
    <w:bookmarkEnd w:id="25"/>
    <w:bookmarkStart w:id="26" w:name="additional-costs-and-expenses"/>
    <w:p>
      <w:pPr>
        <w:pStyle w:val="Heading2"/>
      </w:pPr>
      <w:r>
        <w:t xml:space="preserve">4. Additional Costs and Expenses</w:t>
      </w:r>
    </w:p>
    <w:p>
      <w:pPr>
        <w:pStyle w:val="FirstParagraph"/>
      </w:pPr>
      <w:r>
        <w:t xml:space="preserve">The following additional costs are itemized separately in this Quotation Estimate and are not included in the professional fee totals above:</w:t>
      </w:r>
    </w:p>
    <w:p>
      <w:pPr>
        <w:numPr>
          <w:ilvl w:val="0"/>
          <w:numId w:val="1003"/>
        </w:numPr>
        <w:pStyle w:val="Compact"/>
      </w:pPr>
      <w:r>
        <w:rPr>
          <w:bCs/>
          <w:b/>
        </w:rPr>
        <w:t xml:space="preserve">Travel and On-Site Visits (Argentina Córdoba):</w:t>
      </w:r>
      <w:r>
        <w:t xml:space="preserve"> </w:t>
      </w:r>
      <w:r>
        <w:t xml:space="preserve">$150 per day for the Financial Analyst to conduct on-site meetings at the client's premises in Córdoba, including transportation within the city and surrounding departments (Río Cuarto, Villa María, Bell Ville).</w:t>
      </w:r>
    </w:p>
    <w:p>
      <w:pPr>
        <w:numPr>
          <w:ilvl w:val="0"/>
          <w:numId w:val="1003"/>
        </w:numPr>
        <w:pStyle w:val="Compact"/>
      </w:pPr>
      <w:r>
        <w:rPr>
          <w:bCs/>
          <w:b/>
        </w:rPr>
        <w:t xml:space="preserve">Software and Licensing Fees:</w:t>
      </w:r>
      <w:r>
        <w:t xml:space="preserve"> </w:t>
      </w:r>
      <w:r>
        <w:t xml:space="preserve">$1,200 annually for specialized financial modeling tools, Bloomberg terminal access, and Argentine regulatory reporting platforms.</w:t>
      </w:r>
    </w:p>
    <w:p>
      <w:pPr>
        <w:numPr>
          <w:ilvl w:val="0"/>
          <w:numId w:val="1003"/>
        </w:numPr>
        <w:pStyle w:val="Compact"/>
      </w:pPr>
      <w:r>
        <w:rPr>
          <w:bCs/>
          <w:b/>
        </w:rPr>
        <w:t xml:space="preserve">Translation and Localization:</w:t>
      </w:r>
      <w:r>
        <w:t xml:space="preserve"> </w:t>
      </w:r>
      <w:r>
        <w:t xml:space="preserve">$800 per instance for translating financial documents between English and Spanish for Argentine regulatory submissions.</w:t>
      </w:r>
    </w:p>
    <w:p>
      <w:pPr>
        <w:numPr>
          <w:ilvl w:val="0"/>
          <w:numId w:val="1003"/>
        </w:numPr>
        <w:pStyle w:val="Compact"/>
      </w:pPr>
      <w:r>
        <w:rPr>
          <w:bCs/>
          <w:b/>
        </w:rPr>
        <w:t xml:space="preserve">Applicable Taxes (IVA 21% + Ingresos Brutos Córdoba):</w:t>
      </w:r>
      <w:r>
        <w:t xml:space="preserve"> </w:t>
      </w:r>
      <w:r>
        <w:t xml:space="preserve">To be calculated on the total professional fees as per Argentine national and Córdoba provincial tax legislation.</w:t>
      </w:r>
    </w:p>
    <w:bookmarkEnd w:id="26"/>
    <w:bookmarkStart w:id="27" w:name="X985eb999f0cfcda5f1af1a675bf0b7c2e0a6c64"/>
    <w:p>
      <w:pPr>
        <w:pStyle w:val="Heading2"/>
      </w:pPr>
      <w:r>
        <w:t xml:space="preserve">5. Terms and Conditions of This Quotation Estimate</w:t>
      </w:r>
    </w:p>
    <w:p>
      <w:pPr>
        <w:numPr>
          <w:ilvl w:val="0"/>
          <w:numId w:val="1004"/>
        </w:numPr>
        <w:pStyle w:val="Compact"/>
      </w:pPr>
      <w:r>
        <w:t xml:space="preserve">This Quotation Estimate is valid for a period of thirty (30) calendar days from the date of issue. Beyond this period, all rates for the Financial Analyst services in Argentina Córdoba are subject to revision based on prevailing economic conditions, including inflation indices published by the INDEC.</w:t>
      </w:r>
    </w:p>
    <w:p>
      <w:pPr>
        <w:numPr>
          <w:ilvl w:val="0"/>
          <w:numId w:val="1004"/>
        </w:numPr>
        <w:pStyle w:val="Compact"/>
      </w:pPr>
      <w:r>
        <w:t xml:space="preserve">Payment terms: 50% upon execution of the service agreement and 50% upon completion of the engagement, or as otherwise agreed in the master service contract. Invoices will be issued in Argentine Pesos (ARS) at the official BCRA exchange rate on the date of invoicing, or in US Dollars (USD) at the client's discretion.</w:t>
      </w:r>
    </w:p>
    <w:p>
      <w:pPr>
        <w:numPr>
          <w:ilvl w:val="0"/>
          <w:numId w:val="1004"/>
        </w:numPr>
        <w:pStyle w:val="Compact"/>
      </w:pPr>
      <w:r>
        <w:t xml:space="preserve">The Financial Analyst shall maintain full professional confidentiality regarding all financial data, proprietary models, and strategic information accessed during the engagement in Argentina Córdoba.</w:t>
      </w:r>
    </w:p>
    <w:p>
      <w:pPr>
        <w:numPr>
          <w:ilvl w:val="0"/>
          <w:numId w:val="1004"/>
        </w:numPr>
        <w:pStyle w:val="Compact"/>
      </w:pPr>
      <w:r>
        <w:t xml:space="preserve">All deliverables shall be provided in both English and Spanish to ensure compliance with Argentine corporate governance requirements and to facilitate communication with local stakeholders in Córdoba.</w:t>
      </w:r>
    </w:p>
    <w:p>
      <w:pPr>
        <w:numPr>
          <w:ilvl w:val="0"/>
          <w:numId w:val="1004"/>
        </w:numPr>
        <w:pStyle w:val="Compact"/>
      </w:pPr>
      <w:r>
        <w:t xml:space="preserve">This Quotation Estimate does not constitute a binding contract. A formal Service Agreement must be executed by both parties prior to the commencement of any Financial Analyst services.</w:t>
      </w:r>
    </w:p>
    <w:p>
      <w:pPr>
        <w:numPr>
          <w:ilvl w:val="0"/>
          <w:numId w:val="1004"/>
        </w:numPr>
        <w:pStyle w:val="Compact"/>
      </w:pPr>
      <w:r>
        <w:t xml:space="preserve">Force majeure events, including but not limited to Argentine government currency controls, banking system disruptions, or emergency decrees affecting the financial sector in Argentina, shall be addressed through mutual negotiation.</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Financial Analyst services in Argentina Córdoba and agrees to the terms, conditions, and fee schedule outlined herein. This acceptance does not obligate either party to execute a formal contract but serves as a mutual expression of intent to proceed with the engagement.</w:t>
      </w:r>
    </w:p>
    <w:p>
      <w:pPr>
        <w:pStyle w:val="BodyText"/>
      </w:pPr>
      <w:r>
        <w:rPr>
          <w:bCs/>
          <w:b/>
        </w:rPr>
        <w:t xml:space="preserve">For the Service Provider</w:t>
      </w:r>
      <w:r>
        <w:br/>
      </w:r>
      <w:r>
        <w:t xml:space="preserve">Authorized Representative</w:t>
      </w:r>
      <w:r>
        <w:br/>
      </w:r>
      <w:r>
        <w:t xml:space="preserve">Name / Signature / Date</w:t>
      </w:r>
    </w:p>
    <w:p>
      <w:pPr>
        <w:pStyle w:val="BodyText"/>
      </w:pPr>
      <w:r>
        <w:rPr>
          <w:bCs/>
          <w:b/>
        </w:rPr>
        <w:t xml:space="preserve">For the Client</w:t>
      </w:r>
      <w:r>
        <w:br/>
      </w:r>
      <w:r>
        <w:t xml:space="preserve">Authorized Representative</w:t>
      </w:r>
      <w:r>
        <w:br/>
      </w:r>
      <w:r>
        <w:t xml:space="preserve">Name / Signature / Date</w:t>
      </w:r>
    </w:p>
    <w:p>
      <w:pPr>
        <w:pStyle w:val="BodyText"/>
      </w:pPr>
      <w:r>
        <w:rPr>
          <w:bCs/>
          <w:b/>
        </w:rPr>
        <w:t xml:space="preserve">Quotation Estimate QE-FC-2025-0472</w:t>
      </w:r>
      <w:r>
        <w:t xml:space="preserve"> </w:t>
      </w:r>
      <w:r>
        <w:t xml:space="preserve">| Financial Analyst Services | Argentina Córdoba</w:t>
      </w:r>
    </w:p>
    <w:p>
      <w:pPr>
        <w:pStyle w:val="BodyText"/>
      </w:pPr>
      <w:r>
        <w:t xml:space="preserve">This document is the property of the issuing firm. Unauthorized reproduction or distribution is prohibited.</w:t>
      </w:r>
    </w:p>
    <w:p>
      <w:pPr>
        <w:pStyle w:val="BodyText"/>
      </w:pPr>
      <w:r>
        <w:t xml:space="preserve">Prepared in compliance with Argentine commercial law and Córdoba provincial regulations governing professional services.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Argentina Córdoba</dc:title>
  <dc:creator/>
  <dc:language>en</dc:language>
  <cp:keywords/>
  <dcterms:created xsi:type="dcterms:W3CDTF">2026-10-10T02:42:21Z</dcterms:created>
  <dcterms:modified xsi:type="dcterms:W3CDTF">2026-10-10T02:42:21Z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