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Australia</w:t>
      </w:r>
      <w:r>
        <w:t xml:space="preserve"> </w:t>
      </w:r>
      <w:r>
        <w:t xml:space="preserve">Brisbane</w:t>
      </w:r>
    </w:p>
    <w:bookmarkStart w:id="20" w:name="quotation-estimate"/>
    <w:p>
      <w:pPr>
        <w:pStyle w:val="Heading1"/>
      </w:pPr>
      <w:r>
        <w:t xml:space="preserve">QUOTATION ESTIMATE</w:t>
      </w:r>
    </w:p>
    <w:p>
      <w:pPr>
        <w:pStyle w:val="FirstParagraph"/>
      </w:pPr>
      <w:r>
        <w:t xml:space="preserve">Professional Financial Analyst Services — Australia Brisbane</w:t>
      </w:r>
    </w:p>
    <w:p>
      <w:pPr>
        <w:pStyle w:val="BodyText"/>
      </w:pPr>
      <w:r>
        <w:t xml:space="preserve">Ref: QE-FA-2025-0847 | Prepared for: Meridian Capital Group Pty Ltd</w:t>
      </w:r>
    </w:p>
    <w:bookmarkEnd w:id="20"/>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By:</w:t>
      </w:r>
      <w:r>
        <w:t xml:space="preserve"> </w:t>
      </w:r>
      <w:r>
        <w:t xml:space="preserve">Apex Advisory Partners</w:t>
      </w:r>
    </w:p>
    <w:p>
      <w:pPr>
        <w:pStyle w:val="BodyText"/>
      </w:pPr>
      <w:r>
        <w:rPr>
          <w:bCs/>
          <w:b/>
        </w:rPr>
        <w:t xml:space="preserve">Location:</w:t>
      </w:r>
      <w:r>
        <w:t xml:space="preserve"> </w:t>
      </w:r>
      <w:r>
        <w:t xml:space="preserve">Australia Brisbane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Apex Advisory Partners, a leading professional services firm headquartered in Australia Brisbane, to provide Meridian Capital Group Pty Ltd with a comprehensive and transparent cost breakdown for the engagement of a dedicated</w:t>
      </w:r>
      <w:r>
        <w:t xml:space="preserve"> </w:t>
      </w:r>
      <w:r>
        <w:t xml:space="preserve">Financial Analyst</w:t>
      </w:r>
      <w:r>
        <w:t xml:space="preserve">. This document outlines the scope of services, deliverables, associated fees, and commercial terms governing the proposed engagement. All pricing within this Quotation Estimate reflects current market rates applicable to the Australia Brisbane professional services sector as of the date of issue.</w:t>
      </w:r>
    </w:p>
    <w:p>
      <w:pPr>
        <w:pStyle w:val="BodyText"/>
      </w:pPr>
      <w:r>
        <w:t xml:space="preserve">The</w:t>
      </w:r>
      <w:r>
        <w:t xml:space="preserve"> </w:t>
      </w:r>
      <w:r>
        <w:t xml:space="preserve">Financial Analyst</w:t>
      </w:r>
      <w:r>
        <w:t xml:space="preserve"> </w:t>
      </w:r>
      <w:r>
        <w:t xml:space="preserve">engagement described herein is designed to support Meridian Capital Group's strategic financial planning, portfolio performance evaluation, and regulatory compliance reporting obligations across all operations based in Australia Brisbane. Our firm has extensive experience delivering Financial Analyst services to organisations operating within the Queensland and broader Australian financial services landscape.</w:t>
      </w:r>
    </w:p>
    <w:bookmarkEnd w:id="21"/>
    <w:bookmarkStart w:id="22" w:name="Xc71ca9f107dc19ad1a35be8656fe3f8577b2b82"/>
    <w:p>
      <w:pPr>
        <w:pStyle w:val="Heading2"/>
      </w:pPr>
      <w:r>
        <w:t xml:space="preserve">2. Scope of Services — Financial Analyst Engagement</w:t>
      </w:r>
    </w:p>
    <w:p>
      <w:pPr>
        <w:pStyle w:val="FirstParagraph"/>
      </w:pPr>
      <w:r>
        <w:t xml:space="preserve">The</w:t>
      </w:r>
      <w:r>
        <w:t xml:space="preserve"> </w:t>
      </w:r>
      <w:r>
        <w:t xml:space="preserve">Financial Analyst</w:t>
      </w:r>
      <w:r>
        <w:t xml:space="preserve"> </w:t>
      </w:r>
      <w:r>
        <w:t xml:space="preserve">engaged under this Quotation Estimate will perform the following core functions on behalf of the client: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Financial Modelling &amp; Forecasting</w:t>
            </w:r>
          </w:p>
        </w:tc>
        <w:tc>
          <w:tcPr/>
          <w:p>
            <w:pPr>
              <w:pStyle w:val="Compact"/>
              <w:jc w:val="left"/>
            </w:pPr>
            <w:r>
              <w:t xml:space="preserve">Development and maintenance of multi-year financial models, cash flow projections, and scenario analysis for Australia Brisbane-based operations.</w:t>
            </w:r>
          </w:p>
        </w:tc>
        <w:tc>
          <w:tcPr/>
          <w:p>
            <w:pPr>
              <w:pStyle w:val="Compact"/>
              <w:jc w:val="left"/>
            </w:pPr>
            <w:r>
              <w:t xml:space="preserve">12 months</w:t>
            </w:r>
          </w:p>
        </w:tc>
      </w:tr>
      <w:tr>
        <w:tc>
          <w:tcPr/>
          <w:p>
            <w:pPr>
              <w:pStyle w:val="Compact"/>
              <w:jc w:val="left"/>
            </w:pPr>
            <w:r>
              <w:t xml:space="preserve">Portfolio Performance Analysis</w:t>
            </w:r>
          </w:p>
        </w:tc>
        <w:tc>
          <w:tcPr/>
          <w:p>
            <w:pPr>
              <w:pStyle w:val="Compact"/>
              <w:jc w:val="left"/>
            </w:pPr>
            <w:r>
              <w:t xml:space="preserve">Monthly and quarterly performance reporting, variance analysis, and benchmarking against Australian market indices.</w:t>
            </w:r>
          </w:p>
        </w:tc>
        <w:tc>
          <w:tcPr/>
          <w:p>
            <w:pPr>
              <w:pStyle w:val="Compact"/>
              <w:jc w:val="left"/>
            </w:pPr>
            <w:r>
              <w:t xml:space="preserve">12 months</w:t>
            </w:r>
          </w:p>
        </w:tc>
      </w:tr>
      <w:tr>
        <w:tc>
          <w:tcPr/>
          <w:p>
            <w:pPr>
              <w:pStyle w:val="Compact"/>
              <w:jc w:val="left"/>
            </w:pPr>
            <w:r>
              <w:t xml:space="preserve">Regulatory Compliance Reporting</w:t>
            </w:r>
          </w:p>
        </w:tc>
        <w:tc>
          <w:tcPr/>
          <w:p>
            <w:pPr>
              <w:pStyle w:val="Compact"/>
              <w:jc w:val="left"/>
            </w:pPr>
            <w:r>
              <w:t xml:space="preserve">Preparation of reports in accordance with ASIC, APRA, and Australian Taxation Office requirements specific to Australia Brisbane entities.</w:t>
            </w:r>
          </w:p>
        </w:tc>
        <w:tc>
          <w:tcPr/>
          <w:p>
            <w:pPr>
              <w:pStyle w:val="Compact"/>
              <w:jc w:val="left"/>
            </w:pPr>
            <w:r>
              <w:t xml:space="preserve">12 months</w:t>
            </w:r>
          </w:p>
        </w:tc>
      </w:tr>
      <w:tr>
        <w:tc>
          <w:tcPr/>
          <w:p>
            <w:pPr>
              <w:pStyle w:val="Compact"/>
              <w:jc w:val="left"/>
            </w:pPr>
            <w:r>
              <w:t xml:space="preserve">Strategic Advisory Support</w:t>
            </w:r>
          </w:p>
        </w:tc>
        <w:tc>
          <w:tcPr/>
          <w:p>
            <w:pPr>
              <w:pStyle w:val="Compact"/>
              <w:jc w:val="left"/>
            </w:pPr>
            <w:r>
              <w:t xml:space="preserve">Ad-hoc analytical support for mergers, acquisitions, capital raising, and investment committee presentations.</w:t>
            </w:r>
          </w:p>
        </w:tc>
        <w:tc>
          <w:tcPr/>
          <w:p>
            <w:pPr>
              <w:pStyle w:val="Compact"/>
              <w:jc w:val="left"/>
            </w:pPr>
            <w:r>
              <w:t xml:space="preserve">12 months</w:t>
            </w:r>
          </w:p>
        </w:tc>
      </w:tr>
      <w:tr>
        <w:tc>
          <w:tcPr/>
          <w:p>
            <w:pPr>
              <w:pStyle w:val="Compact"/>
              <w:jc w:val="left"/>
            </w:pPr>
            <w:r>
              <w:t xml:space="preserve">Data Governance &amp; Systems Integration</w:t>
            </w:r>
          </w:p>
        </w:tc>
        <w:tc>
          <w:tcPr/>
          <w:p>
            <w:pPr>
              <w:pStyle w:val="Compact"/>
              <w:jc w:val="left"/>
            </w:pPr>
            <w:r>
              <w:t xml:space="preserve">Implementation and management of financial data pipelines, BI dashboards, and reporting automation tools.</w:t>
            </w:r>
          </w:p>
        </w:tc>
        <w:tc>
          <w:tcPr/>
          <w:p>
            <w:pPr>
              <w:pStyle w:val="Compact"/>
              <w:jc w:val="left"/>
            </w:pPr>
            <w:r>
              <w:t xml:space="preserve">6 months</w:t>
            </w:r>
          </w:p>
        </w:tc>
      </w:tr>
    </w:tbl>
    <w:bookmarkEnd w:id="22"/>
    <w:bookmarkStart w:id="23" w:name="fee-structure-and-cost-breakdown"/>
    <w:p>
      <w:pPr>
        <w:pStyle w:val="Heading2"/>
      </w:pPr>
      <w:r>
        <w:t xml:space="preserve">3. Fee Structure and Cost Breakdown</w:t>
      </w:r>
    </w:p>
    <w:p>
      <w:pPr>
        <w:pStyle w:val="FirstParagraph"/>
      </w:pPr>
      <w:r>
        <w:t xml:space="preserve">The following Quotation Estimate presents the itemised fees for the</w:t>
      </w:r>
      <w:r>
        <w:t xml:space="preserve"> </w:t>
      </w:r>
      <w:r>
        <w:t xml:space="preserve">Financial Analyst</w:t>
      </w:r>
      <w:r>
        <w:t xml:space="preserve"> </w:t>
      </w:r>
      <w:r>
        <w:t xml:space="preserve">engagement. All amounts are quoted in Australian Dollars (AUD) and are exclusive of Goods and Services Tax (GST), which will be applied at the prevailing rate of 10% as mandated by the Australian Taxation Office for transactions conducted in Australia Brisbane.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Rate / Amount (AUD)</w:t>
            </w:r>
          </w:p>
        </w:tc>
        <w:tc>
          <w:tcPr/>
          <w:p>
            <w:pPr>
              <w:pStyle w:val="Compact"/>
              <w:jc w:val="left"/>
            </w:pPr>
            <w:r>
              <w:t xml:space="preserve">Period</w:t>
            </w:r>
          </w:p>
        </w:tc>
        <w:tc>
          <w:tcPr/>
          <w:p>
            <w:pPr>
              <w:pStyle w:val="Compact"/>
              <w:jc w:val="left"/>
            </w:pPr>
            <w:r>
              <w:t xml:space="preserve">Subtotal (AUD)</w:t>
            </w:r>
          </w:p>
        </w:tc>
      </w:tr>
      <w:tr>
        <w:tc>
          <w:tcPr/>
          <w:p>
            <w:pPr>
              <w:pStyle w:val="Compact"/>
              <w:jc w:val="left"/>
            </w:pPr>
            <w:r>
              <w:t xml:space="preserve">Senior Financial Analyst — Base Fee</w:t>
            </w:r>
          </w:p>
        </w:tc>
        <w:tc>
          <w:tcPr/>
          <w:p>
            <w:pPr>
              <w:pStyle w:val="Compact"/>
              <w:jc w:val="left"/>
            </w:pPr>
            <w:r>
              <w:t xml:space="preserve">$145,000</w:t>
            </w:r>
          </w:p>
        </w:tc>
        <w:tc>
          <w:tcPr/>
          <w:p>
            <w:pPr>
              <w:pStyle w:val="Compact"/>
              <w:jc w:val="left"/>
            </w:pPr>
            <w:r>
              <w:t xml:space="preserve">Annual</w:t>
            </w:r>
          </w:p>
        </w:tc>
        <w:tc>
          <w:tcPr/>
          <w:p>
            <w:pPr>
              <w:pStyle w:val="Compact"/>
              <w:jc w:val="left"/>
            </w:pPr>
            <w:r>
              <w:t xml:space="preserve">$145,000</w:t>
            </w:r>
          </w:p>
        </w:tc>
      </w:tr>
      <w:tr>
        <w:tc>
          <w:tcPr/>
          <w:p>
            <w:pPr>
              <w:pStyle w:val="Compact"/>
              <w:jc w:val="left"/>
            </w:pPr>
            <w:r>
              <w:t xml:space="preserve">Financial Modelling &amp; Forecasting Package</w:t>
            </w:r>
          </w:p>
        </w:tc>
        <w:tc>
          <w:tcPr/>
          <w:p>
            <w:pPr>
              <w:pStyle w:val="Compact"/>
              <w:jc w:val="left"/>
            </w:pPr>
            <w:r>
              <w:t xml:space="preserve">$32,500</w:t>
            </w:r>
          </w:p>
        </w:tc>
        <w:tc>
          <w:tcPr/>
          <w:p>
            <w:pPr>
              <w:pStyle w:val="Compact"/>
              <w:jc w:val="left"/>
            </w:pPr>
            <w:r>
              <w:t xml:space="preserve">Annual</w:t>
            </w:r>
          </w:p>
        </w:tc>
        <w:tc>
          <w:tcPr/>
          <w:p>
            <w:pPr>
              <w:pStyle w:val="Compact"/>
              <w:jc w:val="left"/>
            </w:pPr>
            <w:r>
              <w:t xml:space="preserve">$32,500</w:t>
            </w:r>
          </w:p>
        </w:tc>
      </w:tr>
      <w:tr>
        <w:tc>
          <w:tcPr/>
          <w:p>
            <w:pPr>
              <w:pStyle w:val="Compact"/>
              <w:jc w:val="left"/>
            </w:pPr>
            <w:r>
              <w:t xml:space="preserve">Regulatory Compliance Reporting (ASIC/APRA)</w:t>
            </w:r>
          </w:p>
        </w:tc>
        <w:tc>
          <w:tcPr/>
          <w:p>
            <w:pPr>
              <w:pStyle w:val="Compact"/>
              <w:jc w:val="left"/>
            </w:pPr>
            <w:r>
              <w:t xml:space="preserve">$18,750</w:t>
            </w:r>
          </w:p>
        </w:tc>
        <w:tc>
          <w:tcPr/>
          <w:p>
            <w:pPr>
              <w:pStyle w:val="Compact"/>
              <w:jc w:val="left"/>
            </w:pPr>
            <w:r>
              <w:t xml:space="preserve">Annual</w:t>
            </w:r>
          </w:p>
        </w:tc>
        <w:tc>
          <w:tcPr/>
          <w:p>
            <w:pPr>
              <w:pStyle w:val="Compact"/>
              <w:jc w:val="left"/>
            </w:pPr>
            <w:r>
              <w:t xml:space="preserve">$18,750</w:t>
            </w:r>
          </w:p>
        </w:tc>
      </w:tr>
      <w:tr>
        <w:tc>
          <w:tcPr/>
          <w:p>
            <w:pPr>
              <w:pStyle w:val="Compact"/>
              <w:jc w:val="left"/>
            </w:pPr>
            <w:r>
              <w:t xml:space="preserve">Strategic Advisory &amp; Ad-Hoc Support</w:t>
            </w:r>
          </w:p>
        </w:tc>
        <w:tc>
          <w:tcPr/>
          <w:p>
            <w:pPr>
              <w:pStyle w:val="Compact"/>
              <w:jc w:val="left"/>
            </w:pPr>
            <w:r>
              <w:t xml:space="preserve">$24,000</w:t>
            </w:r>
          </w:p>
        </w:tc>
        <w:tc>
          <w:tcPr/>
          <w:p>
            <w:pPr>
              <w:pStyle w:val="Compact"/>
              <w:jc w:val="left"/>
            </w:pPr>
            <w:r>
              <w:t xml:space="preserve">Annual</w:t>
            </w:r>
          </w:p>
        </w:tc>
        <w:tc>
          <w:tcPr/>
          <w:p>
            <w:pPr>
              <w:pStyle w:val="Compact"/>
              <w:jc w:val="left"/>
            </w:pPr>
            <w:r>
              <w:t xml:space="preserve">$24,000</w:t>
            </w:r>
          </w:p>
        </w:tc>
      </w:tr>
      <w:tr>
        <w:tc>
          <w:tcPr/>
          <w:p>
            <w:pPr>
              <w:pStyle w:val="Compact"/>
              <w:jc w:val="left"/>
            </w:pPr>
            <w:r>
              <w:t xml:space="preserve">Data Governance &amp; Systems Integration</w:t>
            </w:r>
          </w:p>
        </w:tc>
        <w:tc>
          <w:tcPr/>
          <w:p>
            <w:pPr>
              <w:pStyle w:val="Compact"/>
              <w:jc w:val="left"/>
            </w:pPr>
            <w:r>
              <w:t xml:space="preserve">$28,000</w:t>
            </w:r>
          </w:p>
        </w:tc>
        <w:tc>
          <w:tcPr/>
          <w:p>
            <w:pPr>
              <w:pStyle w:val="Compact"/>
              <w:jc w:val="left"/>
            </w:pPr>
            <w:r>
              <w:t xml:space="preserve">6 Months</w:t>
            </w:r>
          </w:p>
        </w:tc>
        <w:tc>
          <w:tcPr/>
          <w:p>
            <w:pPr>
              <w:pStyle w:val="Compact"/>
              <w:jc w:val="left"/>
            </w:pPr>
            <w:r>
              <w:t xml:space="preserve">$28,000</w:t>
            </w:r>
          </w:p>
        </w:tc>
      </w:tr>
      <w:tr>
        <w:tc>
          <w:tcPr/>
          <w:p>
            <w:pPr>
              <w:pStyle w:val="Compact"/>
              <w:jc w:val="left"/>
            </w:pPr>
            <w:r>
              <w:t xml:space="preserve">Travel &amp; On-Site Attendance (Australia Brisbane)</w:t>
            </w:r>
          </w:p>
        </w:tc>
        <w:tc>
          <w:tcPr/>
          <w:p>
            <w:pPr>
              <w:pStyle w:val="Compact"/>
              <w:jc w:val="left"/>
            </w:pPr>
            <w:r>
              <w:t xml:space="preserve">$6,500</w:t>
            </w:r>
          </w:p>
        </w:tc>
        <w:tc>
          <w:tcPr/>
          <w:p>
            <w:pPr>
              <w:pStyle w:val="Compact"/>
              <w:jc w:val="left"/>
            </w:pPr>
            <w:r>
              <w:t xml:space="preserve">Annual</w:t>
            </w:r>
          </w:p>
        </w:tc>
        <w:tc>
          <w:tcPr/>
          <w:p>
            <w:pPr>
              <w:pStyle w:val="Compact"/>
              <w:jc w:val="left"/>
            </w:pPr>
            <w:r>
              <w:t xml:space="preserve">$6,500</w:t>
            </w:r>
          </w:p>
        </w:tc>
      </w:tr>
      <w:tr>
        <w:tc>
          <w:tcPr>
            <w:gridSpan w:val="3"/>
          </w:tcPr>
          <w:p>
            <w:pPr>
              <w:pStyle w:val="Compact"/>
              <w:jc w:val="left"/>
            </w:pPr>
            <w:r>
              <w:t xml:space="preserve">Subtotal (Excluding GST)</w:t>
            </w:r>
          </w:p>
        </w:tc>
        <w:tc>
          <w:tcPr/>
          <w:p>
            <w:pPr>
              <w:pStyle w:val="Compact"/>
              <w:jc w:val="left"/>
            </w:pPr>
            <w:r>
              <w:t xml:space="preserve">$254,750</w:t>
            </w:r>
          </w:p>
        </w:tc>
      </w:tr>
      <w:tr>
        <w:tc>
          <w:tcPr>
            <w:gridSpan w:val="3"/>
          </w:tcPr>
          <w:p>
            <w:pPr>
              <w:pStyle w:val="Compact"/>
              <w:jc w:val="left"/>
            </w:pPr>
            <w:r>
              <w:t xml:space="preserve">GST @ 10%</w:t>
            </w:r>
          </w:p>
        </w:tc>
        <w:tc>
          <w:tcPr/>
          <w:p>
            <w:pPr>
              <w:pStyle w:val="Compact"/>
              <w:jc w:val="left"/>
            </w:pPr>
            <w:r>
              <w:t xml:space="preserve">$25,475</w:t>
            </w:r>
          </w:p>
        </w:tc>
      </w:tr>
      <w:tr>
        <w:tc>
          <w:tcPr>
            <w:gridSpan w:val="3"/>
          </w:tcPr>
          <w:p>
            <w:pPr>
              <w:pStyle w:val="Compact"/>
              <w:jc w:val="left"/>
            </w:pPr>
            <w:r>
              <w:t xml:space="preserve">Total Quotation Estimate (Including GST)</w:t>
            </w:r>
          </w:p>
        </w:tc>
        <w:tc>
          <w:tcPr/>
          <w:p>
            <w:pPr>
              <w:pStyle w:val="Compact"/>
              <w:jc w:val="left"/>
            </w:pPr>
            <w:r>
              <w:t xml:space="preserve">$280,225</w:t>
            </w:r>
          </w:p>
        </w:tc>
      </w:tr>
    </w:tbl>
    <w:bookmarkEnd w:id="23"/>
    <w:bookmarkStart w:id="24" w:name="payment-terms-and-conditions"/>
    <w:p>
      <w:pPr>
        <w:pStyle w:val="Heading2"/>
      </w:pPr>
      <w:r>
        <w:t xml:space="preserve">4. Payment Terms and Conditions</w:t>
      </w:r>
    </w:p>
    <w:p>
      <w:pPr>
        <w:pStyle w:val="FirstParagraph"/>
      </w:pPr>
      <w:r>
        <w:t xml:space="preserve">Payment for the services outlined in this Quotation Estimate shall be made in quarterly instalments, with the first payment due within 30 days of contract execution. Invoices will be issued to the registered office of Meridian Capital Group Pty Ltd in Australia Brisbane. Late payments will attract interest at the rate prescribed under the Australian Consumer Law. A 5% early payment discount applies to any quarterly instalment settled within 14 days of the invoice date.</w:t>
      </w:r>
    </w:p>
    <w:bookmarkEnd w:id="24"/>
    <w:bookmarkStart w:id="26" w:name="assumptions-and-exclusions"/>
    <w:p>
      <w:pPr>
        <w:pStyle w:val="Heading2"/>
      </w:pPr>
      <w:r>
        <w:t xml:space="preserve">5. Assumptions and Exclusions</w:t>
      </w:r>
    </w:p>
    <w:p>
      <w:pPr>
        <w:pStyle w:val="FirstParagraph"/>
      </w:pPr>
      <w:r>
        <w:t xml:space="preserve">This Quotation Estimate is based on the following assumptions: the</w:t>
      </w:r>
      <w:r>
        <w:t xml:space="preserve"> </w:t>
      </w:r>
      <w:r>
        <w:t xml:space="preserve">Financial Analyst</w:t>
      </w:r>
      <w:r>
        <w:t xml:space="preserve"> </w:t>
      </w:r>
      <w:r>
        <w:t xml:space="preserve">will operate primarily from the client's Australia Brisbane office with up to two days per month of remote work; all required data access and system credentials will be provided by the client within the first 10 business days; and the scope will not exceed the parameters defined in Section 2 without a formal variation agreement. Any additional services beyond the stated scope will be quoted separately and are not included in this Quotation Estimate.</w:t>
      </w:r>
    </w:p>
    <w:bookmarkStart w:id="25" w:name="X985eb999f0cfcda5f1af1a675bf0b7c2e0a6c64"/>
    <w:p>
      <w:pPr>
        <w:pStyle w:val="Heading3"/>
      </w:pPr>
      <w:r>
        <w:t xml:space="preserve">6. Terms and Conditions of This Quotation Estimate</w:t>
      </w:r>
    </w:p>
    <w:p>
      <w:pPr>
        <w:numPr>
          <w:ilvl w:val="0"/>
          <w:numId w:val="1001"/>
        </w:numPr>
        <w:pStyle w:val="Compact"/>
      </w:pPr>
      <w:r>
        <w:t xml:space="preserve">This Quotation Estimate is valid for 30 calendar days from the date of issue. After this period, fees may be subject to revision based on market conditions in Australia Brisbane.</w:t>
      </w:r>
    </w:p>
    <w:p>
      <w:pPr>
        <w:numPr>
          <w:ilvl w:val="0"/>
          <w:numId w:val="1001"/>
        </w:numPr>
        <w:pStyle w:val="Compact"/>
      </w:pPr>
      <w:r>
        <w:t xml:space="preserve">The</w:t>
      </w:r>
      <w:r>
        <w:t xml:space="preserve"> </w:t>
      </w:r>
      <w:r>
        <w:t xml:space="preserve">Financial Analyst</w:t>
      </w:r>
      <w:r>
        <w:t xml:space="preserve"> </w:t>
      </w:r>
      <w:r>
        <w:t xml:space="preserve">shall be bound by a strict confidentiality agreement and will comply with all obligations under the Privacy Act 1988 (Cth) and the Corporations Act 2001 (Cth).</w:t>
      </w:r>
    </w:p>
    <w:p>
      <w:pPr>
        <w:numPr>
          <w:ilvl w:val="0"/>
          <w:numId w:val="1001"/>
        </w:numPr>
        <w:pStyle w:val="Compact"/>
      </w:pPr>
      <w:r>
        <w:t xml:space="preserve">Either party may terminate the engagement with 60 days' written notice. In the event of early termination, fees will be pro-rated based on services rendered to date.</w:t>
      </w:r>
    </w:p>
    <w:p>
      <w:pPr>
        <w:numPr>
          <w:ilvl w:val="0"/>
          <w:numId w:val="1001"/>
        </w:numPr>
        <w:pStyle w:val="Compact"/>
      </w:pPr>
      <w:r>
        <w:t xml:space="preserve">All intellectual property developed specifically for the client during the engagement shall vest in Meridian Capital Group upon full payment of the Quotation Estimate total.</w:t>
      </w:r>
    </w:p>
    <w:p>
      <w:pPr>
        <w:numPr>
          <w:ilvl w:val="0"/>
          <w:numId w:val="1001"/>
        </w:numPr>
        <w:pStyle w:val="Compact"/>
      </w:pPr>
      <w:r>
        <w:t xml:space="preserve">This Quotation Estimate is governed by the laws of the State of Queensland, Australia, and any disputes shall be resolved through the Queensland Civil and Administrative Tribunal (QCAT) or the Supreme Court of Queensland.</w:t>
      </w:r>
    </w:p>
    <w:p>
      <w:pPr>
        <w:numPr>
          <w:ilvl w:val="0"/>
          <w:numId w:val="1001"/>
        </w:numPr>
        <w:pStyle w:val="Compact"/>
      </w:pPr>
      <w:r>
        <w:t xml:space="preserve">Apex Advisory Partners maintains professional indemnity insurance of no less than AUD $10,000,000, valid throughout the term of this engagement in Australia Brisbane.</w:t>
      </w:r>
    </w:p>
    <w:bookmarkEnd w:id="25"/>
    <w:bookmarkEnd w:id="26"/>
    <w:bookmarkStart w:id="27" w:name="acceptance-and-authorisation"/>
    <w:p>
      <w:pPr>
        <w:pStyle w:val="Heading2"/>
      </w:pPr>
      <w:r>
        <w:t xml:space="preserve">7. Acceptance and Authorisation</w:t>
      </w:r>
    </w:p>
    <w:p>
      <w:pPr>
        <w:pStyle w:val="FirstParagraph"/>
      </w:pPr>
      <w:r>
        <w:t xml:space="preserve">By signing below, the client acknowledges and accepts the terms, conditions, and pricing set out in this Quotation Estimate for the engagement of a</w:t>
      </w:r>
      <w:r>
        <w:t xml:space="preserve"> </w:t>
      </w:r>
      <w:r>
        <w:t xml:space="preserve">Financial Analyst</w:t>
      </w:r>
      <w:r>
        <w:t xml:space="preserve"> </w:t>
      </w:r>
      <w:r>
        <w:t xml:space="preserve">to support operations in Australia Brisbane. This signature constitutes a binding agreement between the parties.</w:t>
      </w:r>
    </w:p>
    <w:p>
      <w:pPr>
        <w:pStyle w:val="BodyText"/>
      </w:pPr>
      <w:r>
        <w:t xml:space="preserve">Authorised Signatory — Client</w:t>
      </w:r>
    </w:p>
    <w:p>
      <w:pPr>
        <w:pStyle w:val="BodyText"/>
      </w:pPr>
      <w:r>
        <w:t xml:space="preserve">Meridian Capital Group Pty Ltd</w:t>
      </w:r>
    </w:p>
    <w:p>
      <w:pPr>
        <w:pStyle w:val="BodyText"/>
      </w:pPr>
      <w:r>
        <w:t xml:space="preserve">Date: _______________</w:t>
      </w:r>
    </w:p>
    <w:p>
      <w:pPr>
        <w:pStyle w:val="BodyText"/>
      </w:pPr>
      <w:r>
        <w:t xml:space="preserve">Authorised Signatory — Apex Advisory Partners</w:t>
      </w:r>
    </w:p>
    <w:p>
      <w:pPr>
        <w:pStyle w:val="BodyText"/>
      </w:pPr>
      <w:r>
        <w:t xml:space="preserve">Financial Analyst Services Division</w:t>
      </w:r>
    </w:p>
    <w:p>
      <w:pPr>
        <w:pStyle w:val="BodyText"/>
      </w:pPr>
      <w:r>
        <w:t xml:space="preserve">Date: _______________</w:t>
      </w:r>
    </w:p>
    <w:p>
      <w:pPr>
        <w:pStyle w:val="BodyText"/>
      </w:pPr>
      <w:r>
        <w:t xml:space="preserve">Apex Advisory Partners | Level 12, 400 George Street, Australia Brisbane QLD 4000 | ABN 12 345 678 901</w:t>
      </w:r>
    </w:p>
    <w:p>
      <w:pPr>
        <w:pStyle w:val="BodyText"/>
      </w:pPr>
      <w:r>
        <w:t xml:space="preserve">Phone: +61 7 3000 0000 | Email: enquiries@apexadvisory.com.au</w:t>
      </w:r>
    </w:p>
    <w:p>
      <w:pPr>
        <w:pStyle w:val="BodyText"/>
      </w:pPr>
      <w:r>
        <w:t xml:space="preserve">This Quotation Estimate is confidential and intended solely for the named recipient. © 2025 Apex Advisory Partners.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Australia Brisbane</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