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quotation-estimate"/>
    <w:p>
      <w:pPr>
        <w:pStyle w:val="Heading1"/>
      </w:pPr>
      <w:r>
        <w:t xml:space="preserve">QUOTATION ESTIMATE</w:t>
      </w:r>
    </w:p>
    <w:p>
      <w:pPr>
        <w:pStyle w:val="FirstParagraph"/>
      </w:pPr>
      <w:r>
        <w:t xml:space="preserve">Professional Financial Analyst Services — Australia Sydney</w:t>
      </w:r>
    </w:p>
    <w:p>
      <w:pPr>
        <w:pStyle w:val="BodyText"/>
      </w:pPr>
      <w:r>
        <w:t xml:space="preserve">Document Reference: QE-FA-2025-0472 | Valid Until: 30 June 2025</w:t>
      </w:r>
    </w:p>
    <w:bookmarkEnd w:id="20"/>
    <w:p>
      <w:pPr>
        <w:pStyle w:val="BodyText"/>
      </w:pPr>
      <w:r>
        <w:rPr>
          <w:bCs/>
          <w:b/>
        </w:rPr>
        <w:t xml:space="preserve">Prepared By:</w:t>
      </w:r>
      <w:r>
        <w:br/>
      </w:r>
      <w:r>
        <w:t xml:space="preserve">Meridian Advisory Partners Pty Ltd</w:t>
      </w:r>
      <w:r>
        <w:br/>
      </w:r>
      <w:r>
        <w:t xml:space="preserve">Level 12, 200 George Street</w:t>
      </w:r>
      <w:r>
        <w:br/>
      </w:r>
      <w:r>
        <w:t xml:space="preserve">Sydney, NSW 2000, Australia</w:t>
      </w:r>
      <w:r>
        <w:br/>
      </w:r>
      <w:r>
        <w:t xml:space="preserve">ABN: 54 123 456 789</w:t>
      </w:r>
      <w:r>
        <w:br/>
      </w:r>
      <w:r>
        <w:t xml:space="preserve">Contact: enquiries@meridianadvisory.com.au</w:t>
      </w:r>
    </w:p>
    <w:p>
      <w:pPr>
        <w:pStyle w:val="BodyText"/>
      </w:pPr>
      <w:r>
        <w:rPr>
          <w:bCs/>
          <w:b/>
        </w:rPr>
        <w:t xml:space="preserve">Prepared For:</w:t>
      </w:r>
      <w:r>
        <w:br/>
      </w:r>
      <w:r>
        <w:t xml:space="preserve">[Client Name / Organisation]</w:t>
      </w:r>
      <w:r>
        <w:br/>
      </w:r>
      <w:r>
        <w:t xml:space="preserve">[Client Address]</w:t>
      </w:r>
      <w:r>
        <w:br/>
      </w:r>
      <w:r>
        <w:t xml:space="preserve">Sydney, NSW, Australia</w:t>
      </w:r>
      <w:r>
        <w:br/>
      </w:r>
      <w:r>
        <w:t xml:space="preserve">Contact: [Client Email]</w:t>
      </w:r>
      <w:r>
        <w:br/>
      </w:r>
      <w:r>
        <w:t xml:space="preserve">Date Issued: 15 June 2025</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has been prepared by Meridian Advisory Partners Pty Ltd to provide a comprehensive and transparent pricing proposal for the engagement of a qualified</w:t>
      </w:r>
      <w:r>
        <w:t xml:space="preserve"> </w:t>
      </w:r>
      <w:r>
        <w:t xml:space="preserve">Financial Analyst</w:t>
      </w:r>
      <w:r>
        <w:t xml:space="preserve"> </w:t>
      </w:r>
      <w:r>
        <w:t xml:space="preserve">to deliver specialised advisory and analytical services to the client organisation. This</w:t>
      </w:r>
      <w:r>
        <w:t xml:space="preserve"> </w:t>
      </w:r>
      <w:r>
        <w:t xml:space="preserve">Quotation Estimate</w:t>
      </w:r>
      <w:r>
        <w:t xml:space="preserve"> </w:t>
      </w:r>
      <w:r>
        <w:t xml:space="preserve">is specifically tailored to the regulatory, economic, and operational environment of</w:t>
      </w:r>
      <w:r>
        <w:t xml:space="preserve"> </w:t>
      </w:r>
      <w:r>
        <w:t xml:space="preserve">Australia Sydney</w:t>
      </w:r>
      <w:r>
        <w:t xml:space="preserve">, ensuring that all deliverables comply with the Australian Securities and Investments Commission (ASIC) guidelines, the Australian Financial Reporting Standards (AASB), and the relevant New South Wales state legislation governing financial services and corporate governance.</w:t>
      </w:r>
    </w:p>
    <w:p>
      <w:pPr>
        <w:pStyle w:val="BodyText"/>
      </w:pPr>
      <w:r>
        <w:t xml:space="preserve">The scope of work outlined in this</w:t>
      </w:r>
      <w:r>
        <w:t xml:space="preserve"> </w:t>
      </w:r>
      <w:r>
        <w:t xml:space="preserve">Quotation Estimate</w:t>
      </w:r>
      <w:r>
        <w:t xml:space="preserve"> </w:t>
      </w:r>
      <w:r>
        <w:t xml:space="preserve">reflects the current market conditions in</w:t>
      </w:r>
      <w:r>
        <w:t xml:space="preserve"> </w:t>
      </w:r>
      <w:r>
        <w:t xml:space="preserve">Australia Sydney</w:t>
      </w:r>
      <w:r>
        <w:t xml:space="preserve">, where demand for experienced</w:t>
      </w:r>
      <w:r>
        <w:t xml:space="preserve"> </w:t>
      </w:r>
      <w:r>
        <w:t xml:space="preserve">Financial Analyst</w:t>
      </w:r>
      <w:r>
        <w:t xml:space="preserve"> </w:t>
      </w:r>
      <w:r>
        <w:t xml:space="preserve">professionals continues to grow across sectors including banking, insurance, property development, and technology. The rates and terms presented herein are calibrated to the Sydney metropolitan labour market and are valid for a period of thirty (30) calendar days from the date of issue.</w:t>
      </w:r>
    </w:p>
    <w:bookmarkEnd w:id="21"/>
    <w:bookmarkStart w:id="22" w:name="Xc71ca9f107dc19ad1a35be8656fe3f8577b2b82"/>
    <w:p>
      <w:pPr>
        <w:pStyle w:val="Heading2"/>
      </w:pPr>
      <w:r>
        <w:t xml:space="preserve">2. Scope of Services — Financial Analyst Engagement</w:t>
      </w:r>
    </w:p>
    <w:p>
      <w:pPr>
        <w:pStyle w:val="FirstParagraph"/>
      </w:pPr>
      <w:r>
        <w:t xml:space="preserve">The</w:t>
      </w:r>
      <w:r>
        <w:t xml:space="preserve"> </w:t>
      </w:r>
      <w:r>
        <w:t xml:space="preserve">Financial Analyst</w:t>
      </w:r>
      <w:r>
        <w:t xml:space="preserve"> </w:t>
      </w:r>
      <w:r>
        <w:t xml:space="preserve">engaged under this</w:t>
      </w:r>
      <w:r>
        <w:t xml:space="preserve"> </w:t>
      </w:r>
      <w:r>
        <w:t xml:space="preserve">Quotation Estimate</w:t>
      </w:r>
      <w:r>
        <w:t xml:space="preserve"> </w:t>
      </w:r>
      <w:r>
        <w:t xml:space="preserve">will provide the following core services to the client, all conducted in accordance with professional standards applicable in</w:t>
      </w:r>
      <w:r>
        <w:t xml:space="preserve"> </w:t>
      </w:r>
      <w:r>
        <w:t xml:space="preserve">Australia Sydney</w:t>
      </w:r>
      <w:r>
        <w:t xml:space="preserve">:</w:t>
      </w:r>
    </w:p>
    <w:p>
      <w:pPr>
        <w:numPr>
          <w:ilvl w:val="0"/>
          <w:numId w:val="1001"/>
        </w:numPr>
        <w:pStyle w:val="Compact"/>
      </w:pPr>
      <w:r>
        <w:rPr>
          <w:bCs/>
          <w:b/>
        </w:rPr>
        <w:t xml:space="preserve">Financial Modelling &amp; Forecasting:</w:t>
      </w:r>
      <w:r>
        <w:t xml:space="preserve"> </w:t>
      </w:r>
      <w:r>
        <w:t xml:space="preserve">Development and maintenance of multi-year financial models, cash flow projections, and scenario analyses aligned with the client's strategic objectives and the broader Australian economic outlook.</w:t>
      </w:r>
    </w:p>
    <w:p>
      <w:pPr>
        <w:numPr>
          <w:ilvl w:val="0"/>
          <w:numId w:val="1001"/>
        </w:numPr>
        <w:pStyle w:val="Compact"/>
      </w:pPr>
      <w:r>
        <w:rPr>
          <w:bCs/>
          <w:b/>
        </w:rPr>
        <w:t xml:space="preserve">Investment Analysis &amp; Due Diligence:</w:t>
      </w:r>
      <w:r>
        <w:t xml:space="preserve"> </w:t>
      </w:r>
      <w:r>
        <w:t xml:space="preserve">Comprehensive evaluation of potential investment opportunities, mergers and acquisitions, and capital allocation strategies, with particular attention to the property and infrastructure markets prevalent in</w:t>
      </w:r>
      <w:r>
        <w:t xml:space="preserve"> </w:t>
      </w:r>
      <w:r>
        <w:t xml:space="preserve">Australia Sydney</w:t>
      </w:r>
      <w:r>
        <w:t xml:space="preserve">.</w:t>
      </w:r>
    </w:p>
    <w:p>
      <w:pPr>
        <w:numPr>
          <w:ilvl w:val="0"/>
          <w:numId w:val="1001"/>
        </w:numPr>
        <w:pStyle w:val="Compact"/>
      </w:pPr>
      <w:r>
        <w:rPr>
          <w:bCs/>
          <w:b/>
        </w:rPr>
        <w:t xml:space="preserve">Regulatory Reporting &amp; Compliance:</w:t>
      </w:r>
      <w:r>
        <w:t xml:space="preserve"> </w:t>
      </w:r>
      <w:r>
        <w:t xml:space="preserve">Preparation of statutory financial reports, ASIC lodgements, and tax documentation in full compliance with Australian corporate law and the requirements of the Australian Taxation Office (ATO).</w:t>
      </w:r>
    </w:p>
    <w:p>
      <w:pPr>
        <w:numPr>
          <w:ilvl w:val="0"/>
          <w:numId w:val="1001"/>
        </w:numPr>
        <w:pStyle w:val="Compact"/>
      </w:pPr>
      <w:r>
        <w:rPr>
          <w:bCs/>
          <w:b/>
        </w:rPr>
        <w:t xml:space="preserve">Budgeting &amp; Variance Analysis:</w:t>
      </w:r>
      <w:r>
        <w:t xml:space="preserve"> </w:t>
      </w:r>
      <w:r>
        <w:t xml:space="preserve">Monthly and quarterly budget preparation, actual-versus-forecast variance reporting, and actionable recommendations for cost optimisation and revenue enhancement.</w:t>
      </w:r>
    </w:p>
    <w:p>
      <w:pPr>
        <w:numPr>
          <w:ilvl w:val="0"/>
          <w:numId w:val="1001"/>
        </w:numPr>
        <w:pStyle w:val="Compact"/>
      </w:pPr>
      <w:r>
        <w:rPr>
          <w:bCs/>
          <w:b/>
        </w:rPr>
        <w:t xml:space="preserve">Advisory &amp; Strategic Support:</w:t>
      </w:r>
      <w:r>
        <w:t xml:space="preserve"> </w:t>
      </w:r>
      <w:r>
        <w:t xml:space="preserve">Ongoing advisory to the client's executive leadership team on capital structure, risk management, and long-term financial planning specific to the</w:t>
      </w:r>
      <w:r>
        <w:t xml:space="preserve"> </w:t>
      </w:r>
      <w:r>
        <w:t xml:space="preserve">Australia Sydney</w:t>
      </w:r>
      <w:r>
        <w:t xml:space="preserve"> </w:t>
      </w:r>
      <w:r>
        <w:t xml:space="preserve">business environment.</w:t>
      </w:r>
    </w:p>
    <w:bookmarkEnd w:id="22"/>
    <w:bookmarkStart w:id="23" w:name="Xb23d96fdb737d4060151d20dbe853fcaa5f10ee"/>
    <w:p>
      <w:pPr>
        <w:pStyle w:val="Heading2"/>
      </w:pPr>
      <w:r>
        <w:t xml:space="preserve">3. Pricing Breakdown — Quotation Estimate Summary</w:t>
      </w:r>
    </w:p>
    <w:p>
      <w:pPr>
        <w:pStyle w:val="FirstParagraph"/>
      </w:pPr>
      <w:r>
        <w:t xml:space="preserve">The following table sets out the detailed cost structure for this</w:t>
      </w:r>
      <w:r>
        <w:t xml:space="preserve"> </w:t>
      </w:r>
      <w:r>
        <w:t xml:space="preserve">Quotation Estimate</w:t>
      </w:r>
      <w:r>
        <w:t xml:space="preserve">. All amounts are quoted in Australian Dollars (AUD) and are inclusive of Goods and Services Tax (GST) at the current rate of 10%, as applicable in</w:t>
      </w:r>
      <w:r>
        <w:t xml:space="preserve"> </w:t>
      </w:r>
      <w:r>
        <w:t xml:space="preserve">Australia Sydney</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Component</w:t>
            </w:r>
          </w:p>
        </w:tc>
        <w:tc>
          <w:tcPr/>
          <w:p>
            <w:pPr>
              <w:pStyle w:val="Compact"/>
              <w:jc w:val="left"/>
            </w:pPr>
            <w:r>
              <w:t xml:space="preserve">Duration / Frequency</w:t>
            </w:r>
          </w:p>
        </w:tc>
        <w:tc>
          <w:tcPr/>
          <w:p>
            <w:pPr>
              <w:pStyle w:val="Compact"/>
              <w:jc w:val="left"/>
            </w:pPr>
            <w:r>
              <w:t xml:space="preserve">Rate (AUD)</w:t>
            </w:r>
          </w:p>
        </w:tc>
        <w:tc>
          <w:tcPr/>
          <w:p>
            <w:pPr>
              <w:pStyle w:val="Compact"/>
              <w:jc w:val="left"/>
            </w:pPr>
            <w:r>
              <w:t xml:space="preserve">Subtotal (AUD)</w:t>
            </w:r>
          </w:p>
        </w:tc>
      </w:tr>
      <w:tr>
        <w:tc>
          <w:tcPr/>
          <w:p>
            <w:pPr>
              <w:pStyle w:val="Compact"/>
              <w:jc w:val="left"/>
            </w:pPr>
            <w:r>
              <w:t xml:space="preserve">Senior Financial Analyst — Full-time engagement (40 hrs/week)</w:t>
            </w:r>
          </w:p>
        </w:tc>
        <w:tc>
          <w:tcPr/>
          <w:p>
            <w:pPr>
              <w:pStyle w:val="Compact"/>
              <w:jc w:val="left"/>
            </w:pPr>
            <w:r>
              <w:t xml:space="preserve">12 months</w:t>
            </w:r>
          </w:p>
        </w:tc>
        <w:tc>
          <w:tcPr/>
          <w:p>
            <w:pPr>
              <w:pStyle w:val="Compact"/>
              <w:jc w:val="left"/>
            </w:pPr>
            <w:r>
              <w:t xml:space="preserve">$1,850 / day</w:t>
            </w:r>
          </w:p>
        </w:tc>
        <w:tc>
          <w:tcPr/>
          <w:p>
            <w:pPr>
              <w:pStyle w:val="Compact"/>
              <w:jc w:val="left"/>
            </w:pPr>
            <w:r>
              <w:t xml:space="preserve">$460,000.00</w:t>
            </w:r>
          </w:p>
        </w:tc>
      </w:tr>
      <w:tr>
        <w:tc>
          <w:tcPr/>
          <w:p>
            <w:pPr>
              <w:pStyle w:val="Compact"/>
              <w:jc w:val="left"/>
            </w:pPr>
            <w:r>
              <w:t xml:space="preserve">Financial Modelling &amp; Forecasting (initial build)</w:t>
            </w:r>
          </w:p>
        </w:tc>
        <w:tc>
          <w:tcPr/>
          <w:p>
            <w:pPr>
              <w:pStyle w:val="Compact"/>
              <w:jc w:val="left"/>
            </w:pPr>
            <w:r>
              <w:t xml:space="preserve">One-off (6 weeks)</w:t>
            </w:r>
          </w:p>
        </w:tc>
        <w:tc>
          <w:tcPr/>
          <w:p>
            <w:pPr>
              <w:pStyle w:val="Compact"/>
              <w:jc w:val="left"/>
            </w:pPr>
            <w:r>
              <w:t xml:space="preserve">$2,200 / day</w:t>
            </w:r>
          </w:p>
        </w:tc>
        <w:tc>
          <w:tcPr/>
          <w:p>
            <w:pPr>
              <w:pStyle w:val="Compact"/>
              <w:jc w:val="left"/>
            </w:pPr>
            <w:r>
              <w:t xml:space="preserve">$33,000.00</w:t>
            </w:r>
          </w:p>
        </w:tc>
      </w:tr>
      <w:tr>
        <w:tc>
          <w:tcPr/>
          <w:p>
            <w:pPr>
              <w:pStyle w:val="Compact"/>
              <w:jc w:val="left"/>
            </w:pPr>
            <w:r>
              <w:t xml:space="preserve">Investment Due Diligence &amp; Advisory (as required)</w:t>
            </w:r>
          </w:p>
        </w:tc>
        <w:tc>
          <w:tcPr/>
          <w:p>
            <w:pPr>
              <w:pStyle w:val="Compact"/>
              <w:jc w:val="left"/>
            </w:pPr>
            <w:r>
              <w:t xml:space="preserve">Up to 40 hours</w:t>
            </w:r>
          </w:p>
        </w:tc>
        <w:tc>
          <w:tcPr/>
          <w:p>
            <w:pPr>
              <w:pStyle w:val="Compact"/>
              <w:jc w:val="left"/>
            </w:pPr>
            <w:r>
              <w:t xml:space="preserve">$350 / hour</w:t>
            </w:r>
          </w:p>
        </w:tc>
        <w:tc>
          <w:tcPr/>
          <w:p>
            <w:pPr>
              <w:pStyle w:val="Compact"/>
              <w:jc w:val="left"/>
            </w:pPr>
            <w:r>
              <w:t xml:space="preserve">$14,000.00</w:t>
            </w:r>
          </w:p>
        </w:tc>
      </w:tr>
      <w:tr>
        <w:tc>
          <w:tcPr/>
          <w:p>
            <w:pPr>
              <w:pStyle w:val="Compact"/>
              <w:jc w:val="left"/>
            </w:pPr>
            <w:r>
              <w:t xml:space="preserve">Regulatory Reporting &amp; ASIC Compliance Support</w:t>
            </w:r>
          </w:p>
        </w:tc>
        <w:tc>
          <w:tcPr/>
          <w:p>
            <w:pPr>
              <w:pStyle w:val="Compact"/>
              <w:jc w:val="left"/>
            </w:pPr>
            <w:r>
              <w:t xml:space="preserve">Quarterly (4 cycles)</w:t>
            </w:r>
          </w:p>
        </w:tc>
        <w:tc>
          <w:tcPr/>
          <w:p>
            <w:pPr>
              <w:pStyle w:val="Compact"/>
              <w:jc w:val="left"/>
            </w:pPr>
            <w:r>
              <w:t xml:space="preserve">$4,500 / cycle</w:t>
            </w:r>
          </w:p>
        </w:tc>
        <w:tc>
          <w:tcPr/>
          <w:p>
            <w:pPr>
              <w:pStyle w:val="Compact"/>
              <w:jc w:val="left"/>
            </w:pPr>
            <w:r>
              <w:t xml:space="preserve">$18,000.00</w:t>
            </w:r>
          </w:p>
        </w:tc>
      </w:tr>
      <w:tr>
        <w:tc>
          <w:tcPr/>
          <w:p>
            <w:pPr>
              <w:pStyle w:val="Compact"/>
              <w:jc w:val="left"/>
            </w:pPr>
            <w:r>
              <w:t xml:space="preserve">Software &amp; Tooling Licences (Bloomberg Terminal, Excel add-ins, data feeds)</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Travel &amp; Local Expenses within Sydney Metropolitan Area</w:t>
            </w:r>
          </w:p>
        </w:tc>
        <w:tc>
          <w:tcPr/>
          <w:p>
            <w:pPr>
              <w:pStyle w:val="Compact"/>
              <w:jc w:val="left"/>
            </w:pPr>
            <w:r>
              <w:t xml:space="preserve">12 months</w:t>
            </w:r>
          </w:p>
        </w:tc>
        <w:tc>
          <w:tcPr/>
          <w:p>
            <w:pPr>
              <w:pStyle w:val="Compact"/>
              <w:jc w:val="left"/>
            </w:pPr>
            <w:r>
              <w:t xml:space="preserve">Flat fee</w:t>
            </w:r>
          </w:p>
        </w:tc>
        <w:tc>
          <w:tcPr/>
          <w:p>
            <w:pPr>
              <w:pStyle w:val="Compact"/>
              <w:jc w:val="left"/>
            </w:pPr>
            <w:r>
              <w:t xml:space="preserve">$6,000.00</w:t>
            </w:r>
          </w:p>
        </w:tc>
      </w:tr>
      <w:tr>
        <w:tc>
          <w:tcPr/>
          <w:p>
            <w:pPr>
              <w:pStyle w:val="Compact"/>
              <w:jc w:val="left"/>
            </w:pPr>
            <w:r>
              <w:t xml:space="preserve">Project Management &amp; Coordination (Meridian Advisory)</w:t>
            </w:r>
          </w:p>
        </w:tc>
        <w:tc>
          <w:tcPr/>
          <w:p>
            <w:pPr>
              <w:pStyle w:val="Compact"/>
              <w:jc w:val="left"/>
            </w:pPr>
            <w:r>
              <w:t xml:space="preserve">12 months</w:t>
            </w:r>
          </w:p>
        </w:tc>
        <w:tc>
          <w:tcPr/>
          <w:p>
            <w:pPr>
              <w:pStyle w:val="Compact"/>
              <w:jc w:val="left"/>
            </w:pPr>
            <w:r>
              <w:t xml:space="preserve">$800 / month</w:t>
            </w:r>
          </w:p>
        </w:tc>
        <w:tc>
          <w:tcPr/>
          <w:p>
            <w:pPr>
              <w:pStyle w:val="Compact"/>
              <w:jc w:val="left"/>
            </w:pPr>
            <w:r>
              <w:t xml:space="preserve">$9,600.00</w:t>
            </w:r>
          </w:p>
        </w:tc>
      </w:tr>
      <w:tr>
        <w:tc>
          <w:tcPr>
            <w:gridSpan w:val="3"/>
          </w:tcPr>
          <w:p>
            <w:pPr>
              <w:pStyle w:val="Compact"/>
              <w:jc w:val="left"/>
            </w:pPr>
            <w:r>
              <w:rPr>
                <w:bCs/>
                <w:b/>
              </w:rPr>
              <w:t xml:space="preserve">Subtotal (excl. GST)</w:t>
            </w:r>
          </w:p>
        </w:tc>
        <w:tc>
          <w:tcPr/>
          <w:p>
            <w:pPr>
              <w:pStyle w:val="Compact"/>
              <w:jc w:val="left"/>
            </w:pPr>
            <w:r>
              <w:rPr>
                <w:bCs/>
                <w:b/>
              </w:rPr>
              <w:t xml:space="preserve">$555,000.00</w:t>
            </w:r>
          </w:p>
        </w:tc>
      </w:tr>
      <w:tr>
        <w:tc>
          <w:tcPr>
            <w:gridSpan w:val="3"/>
          </w:tcPr>
          <w:p>
            <w:pPr>
              <w:pStyle w:val="Compact"/>
              <w:jc w:val="left"/>
            </w:pPr>
            <w:r>
              <w:rPr>
                <w:bCs/>
                <w:b/>
              </w:rPr>
              <w:t xml:space="preserve">GST (10%)</w:t>
            </w:r>
          </w:p>
        </w:tc>
        <w:tc>
          <w:tcPr/>
          <w:p>
            <w:pPr>
              <w:pStyle w:val="Compact"/>
              <w:jc w:val="left"/>
            </w:pPr>
            <w:r>
              <w:rPr>
                <w:bCs/>
                <w:b/>
              </w:rPr>
              <w:t xml:space="preserve">$55,500.00</w:t>
            </w:r>
          </w:p>
        </w:tc>
      </w:tr>
      <w:tr>
        <w:tc>
          <w:tcPr>
            <w:gridSpan w:val="3"/>
          </w:tcPr>
          <w:p>
            <w:pPr>
              <w:pStyle w:val="Compact"/>
              <w:jc w:val="left"/>
            </w:pPr>
            <w:r>
              <w:rPr>
                <w:bCs/>
                <w:b/>
              </w:rPr>
              <w:t xml:space="preserve">TOTAL — Quotation Estimate (incl. GST)</w:t>
            </w:r>
          </w:p>
        </w:tc>
        <w:tc>
          <w:tcPr/>
          <w:p>
            <w:pPr>
              <w:pStyle w:val="Compact"/>
              <w:jc w:val="left"/>
            </w:pPr>
            <w:r>
              <w:rPr>
                <w:bCs/>
                <w:b/>
              </w:rPr>
              <w:t xml:space="preserve">$610,500.00</w:t>
            </w:r>
          </w:p>
        </w:tc>
      </w:tr>
    </w:tbl>
    <w:bookmarkEnd w:id="23"/>
    <w:bookmarkStart w:id="24" w:name="terms-and-conditions"/>
    <w:p>
      <w:pPr>
        <w:pStyle w:val="Heading2"/>
      </w:pPr>
      <w:r>
        <w:t xml:space="preserve">4. Terms and Conditions</w:t>
      </w:r>
    </w:p>
    <w:p>
      <w:pPr>
        <w:pStyle w:val="FirstParagraph"/>
      </w:pPr>
      <w:r>
        <w:t xml:space="preserve">This</w:t>
      </w:r>
      <w:r>
        <w:t xml:space="preserve"> </w:t>
      </w:r>
      <w:r>
        <w:t xml:space="preserve">Quotation Estimate</w:t>
      </w:r>
      <w:r>
        <w:t xml:space="preserve"> </w:t>
      </w:r>
      <w:r>
        <w:t xml:space="preserve">is subject to the following terms, which are binding upon acceptance by both parties:</w:t>
      </w:r>
    </w:p>
    <w:p>
      <w:pPr>
        <w:numPr>
          <w:ilvl w:val="0"/>
          <w:numId w:val="1002"/>
        </w:numPr>
        <w:pStyle w:val="Compact"/>
      </w:pPr>
      <w:r>
        <w:rPr>
          <w:bCs/>
          <w:b/>
        </w:rPr>
        <w:t xml:space="preserve">Validity:</w:t>
      </w:r>
      <w:r>
        <w:t xml:space="preserve"> </w:t>
      </w:r>
      <w:r>
        <w:t xml:space="preserve">This</w:t>
      </w:r>
      <w:r>
        <w:t xml:space="preserve"> </w:t>
      </w:r>
      <w:r>
        <w:t xml:space="preserve">Quotation Estimate</w:t>
      </w:r>
      <w:r>
        <w:t xml:space="preserve"> </w:t>
      </w:r>
      <w:r>
        <w:t xml:space="preserve">remains valid for thirty (30) days from the date of issue. After this period, rates may be revised to reflect changes in the</w:t>
      </w:r>
      <w:r>
        <w:t xml:space="preserve"> </w:t>
      </w:r>
      <w:r>
        <w:t xml:space="preserve">Australia Sydney</w:t>
      </w:r>
      <w:r>
        <w:t xml:space="preserve"> </w:t>
      </w:r>
      <w:r>
        <w:t xml:space="preserve">labour market or regulatory environment.</w:t>
      </w:r>
    </w:p>
    <w:p>
      <w:pPr>
        <w:numPr>
          <w:ilvl w:val="0"/>
          <w:numId w:val="1002"/>
        </w:numPr>
        <w:pStyle w:val="Compact"/>
      </w:pPr>
      <w:r>
        <w:rPr>
          <w:bCs/>
          <w:b/>
        </w:rPr>
        <w:t xml:space="preserve">Payment Terms:</w:t>
      </w:r>
      <w:r>
        <w:t xml:space="preserve"> </w:t>
      </w:r>
      <w:r>
        <w:t xml:space="preserve">Invoices will be issued monthly in arrears. Payment is due within fourteen (14) calendar days of the invoice date via bank transfer to the account nominated by Meridian Advisory Partners Pty Ltd. Late payments will attract interest at the rate prescribed under the Australian Consumer Law.</w:t>
      </w:r>
    </w:p>
    <w:p>
      <w:pPr>
        <w:numPr>
          <w:ilvl w:val="0"/>
          <w:numId w:val="1002"/>
        </w:numPr>
        <w:pStyle w:val="Compact"/>
      </w:pPr>
      <w:r>
        <w:rPr>
          <w:bCs/>
          <w:b/>
        </w:rPr>
        <w:t xml:space="preserve">Engagement of the Financial Analyst:</w:t>
      </w:r>
      <w:r>
        <w:t xml:space="preserve"> </w:t>
      </w:r>
      <w:r>
        <w:t xml:space="preserve">The</w:t>
      </w:r>
      <w:r>
        <w:t xml:space="preserve"> </w:t>
      </w:r>
      <w:r>
        <w:t xml:space="preserve">Financial Analyst</w:t>
      </w:r>
      <w:r>
        <w:t xml:space="preserve"> </w:t>
      </w:r>
      <w:r>
        <w:t xml:space="preserve">assigned to this engagement will hold a minimum of a Bachelor of Commerce (Finance) degree, a Chartered Accountant (CA) or CPA Australia designation, and a minimum of seven (7) years of relevant experience in the</w:t>
      </w:r>
      <w:r>
        <w:t xml:space="preserve"> </w:t>
      </w:r>
      <w:r>
        <w:t xml:space="preserve">Australia Sydney</w:t>
      </w:r>
      <w:r>
        <w:t xml:space="preserve"> </w:t>
      </w:r>
      <w:r>
        <w:t xml:space="preserve">financial services sector.</w:t>
      </w:r>
    </w:p>
    <w:p>
      <w:pPr>
        <w:numPr>
          <w:ilvl w:val="0"/>
          <w:numId w:val="1002"/>
        </w:numPr>
        <w:pStyle w:val="Compact"/>
      </w:pPr>
      <w:r>
        <w:rPr>
          <w:bCs/>
          <w:b/>
        </w:rPr>
        <w:t xml:space="preserve">Confidentiality:</w:t>
      </w:r>
      <w:r>
        <w:t xml:space="preserve"> </w:t>
      </w:r>
      <w:r>
        <w:t xml:space="preserve">All financial data, proprietary models, and strategic information shared during the engagement will be treated in strict confidence in accordance with the Privacy Act 1988 (Cth) and the Australian Privacy Principles.</w:t>
      </w:r>
    </w:p>
    <w:p>
      <w:pPr>
        <w:numPr>
          <w:ilvl w:val="0"/>
          <w:numId w:val="1002"/>
        </w:numPr>
        <w:pStyle w:val="Compact"/>
      </w:pPr>
      <w:r>
        <w:rPr>
          <w:bCs/>
          <w:b/>
        </w:rPr>
        <w:t xml:space="preserve">Termination:</w:t>
      </w:r>
      <w:r>
        <w:t xml:space="preserve"> </w:t>
      </w:r>
      <w:r>
        <w:t xml:space="preserve">Either party may terminate this engagement with thirty (30) days written notice. In the event of early termination, the client shall be liable for all services rendered up to the termination date plus a transition fee of 10% of the remaining contract value.</w:t>
      </w:r>
    </w:p>
    <w:p>
      <w:pPr>
        <w:numPr>
          <w:ilvl w:val="0"/>
          <w:numId w:val="1002"/>
        </w:numPr>
        <w:pStyle w:val="Compact"/>
      </w:pPr>
      <w:r>
        <w:rPr>
          <w:bCs/>
          <w:b/>
        </w:rPr>
        <w:t xml:space="preserve">Insurance &amp; Indemnity:</w:t>
      </w:r>
      <w:r>
        <w:t xml:space="preserve"> </w:t>
      </w:r>
      <w:r>
        <w:t xml:space="preserve">Meridian Advisory Partners Pty Ltd maintains Professional Indemnity Insurance of no less than AUD $10,000,000 and Public Liability Insurance of AUD $20,000,000, as is standard practice for financial advisory firms operating in</w:t>
      </w:r>
      <w:r>
        <w:t xml:space="preserve"> </w:t>
      </w:r>
      <w:r>
        <w:t xml:space="preserve">Australia Sydney</w:t>
      </w:r>
      <w:r>
        <w:t xml:space="preserve">.</w:t>
      </w:r>
    </w:p>
    <w:p>
      <w:pPr>
        <w:numPr>
          <w:ilvl w:val="0"/>
          <w:numId w:val="1002"/>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contract shall be governed by and construed in accordance with the laws of the State of New South Wales, Australia. Any disputes shall be resolved in the courts of</w:t>
      </w:r>
      <w:r>
        <w:t xml:space="preserve"> </w:t>
      </w:r>
      <w:r>
        <w:t xml:space="preserve">Australia Sydney</w:t>
      </w:r>
      <w:r>
        <w:t xml:space="preserve"> </w:t>
      </w:r>
      <w:r>
        <w:t xml:space="preserve">or by arbitration under the rules of the Australian Dispute Resolution Centre.</w:t>
      </w:r>
    </w:p>
    <w:bookmarkEnd w:id="24"/>
    <w:bookmarkStart w:id="25" w:name="acceptance"/>
    <w:p>
      <w:pPr>
        <w:pStyle w:val="Heading2"/>
      </w:pPr>
      <w:r>
        <w:t xml:space="preserve">5. Acceptance</w:t>
      </w:r>
    </w:p>
    <w:p>
      <w:pPr>
        <w:pStyle w:val="FirstParagraph"/>
      </w:pPr>
      <w:r>
        <w:t xml:space="preserve">By signing below, the client acknowledges that they have read, understood, and accepted the terms set out in this</w:t>
      </w:r>
      <w:r>
        <w:t xml:space="preserve"> </w:t>
      </w:r>
      <w:r>
        <w:t xml:space="preserve">Quotation Estimate</w:t>
      </w:r>
      <w:r>
        <w:t xml:space="preserve"> </w:t>
      </w:r>
      <w:r>
        <w:t xml:space="preserve">for the engagement of a</w:t>
      </w:r>
      <w:r>
        <w:t xml:space="preserve"> </w:t>
      </w:r>
      <w:r>
        <w:t xml:space="preserve">Financial Analyst</w:t>
      </w:r>
      <w:r>
        <w:t xml:space="preserve"> </w:t>
      </w:r>
      <w:r>
        <w:t xml:space="preserve">in</w:t>
      </w:r>
      <w:r>
        <w:t xml:space="preserve"> </w:t>
      </w:r>
      <w:r>
        <w:t xml:space="preserve">Australia Sydney</w:t>
      </w:r>
      <w:r>
        <w:t xml:space="preserve">. Upon countersignature by both parties, this document shall constitute a binding agreement for the services described herein.</w:t>
      </w:r>
    </w:p>
    <w:bookmarkEnd w:id="25"/>
    <w:p>
      <w:pPr>
        <w:pStyle w:val="BodyText"/>
      </w:pPr>
      <w:r>
        <w:rPr>
          <w:bCs/>
          <w:b/>
        </w:rPr>
        <w:t xml:space="preserve">For Meridian Advisory Partners Pty Ltd</w:t>
      </w:r>
      <w:r>
        <w:br/>
      </w:r>
      <w:r>
        <w:t xml:space="preserve">Authorised Signatory</w:t>
      </w:r>
      <w:r>
        <w:br/>
      </w:r>
      <w:r>
        <w:t xml:space="preserve">Date: _______________</w:t>
      </w:r>
    </w:p>
    <w:p>
      <w:pPr>
        <w:pStyle w:val="BodyText"/>
      </w:pPr>
      <w:r>
        <w:rPr>
          <w:bCs/>
          <w:b/>
        </w:rPr>
        <w:t xml:space="preserve">For the Client</w:t>
      </w:r>
      <w:r>
        <w:br/>
      </w:r>
      <w:r>
        <w:t xml:space="preserve">Authorised Signatory</w:t>
      </w:r>
      <w:r>
        <w:br/>
      </w:r>
      <w:r>
        <w:t xml:space="preserve">Date: _______________</w:t>
      </w:r>
    </w:p>
    <w:p>
      <w:pPr>
        <w:pStyle w:val="BodyText"/>
      </w:pPr>
      <w:r>
        <w:t xml:space="preserve">© 2025 Meridian Advisory Partners Pty Ltd. All rights reserved. This Quotation Estimate is confidential and intended solely for the named recipient. Document QE-FA-2025-0472.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Services - Australia Sydney</dc:title>
  <dc:creator/>
  <dc:language>en</dc:language>
  <cp:keywords/>
  <dcterms:created xsi:type="dcterms:W3CDTF">2026-10-10T02:17:59Z</dcterms:created>
  <dcterms:modified xsi:type="dcterms:W3CDTF">2026-10-10T02:17:59Z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