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Bangladesh</w:t>
      </w:r>
      <w:r>
        <w:t xml:space="preserve"> </w:t>
      </w:r>
      <w:r>
        <w:t xml:space="preserve">Dhaka</w:t>
      </w:r>
    </w:p>
    <w:bookmarkStart w:id="20" w:name="meridian-consulting-analytics-ltd."/>
    <w:p>
      <w:pPr>
        <w:pStyle w:val="Heading1"/>
      </w:pPr>
      <w:r>
        <w:t xml:space="preserve">Meridian Consulting &amp; Analytics Ltd.</w:t>
      </w:r>
    </w:p>
    <w:p>
      <w:pPr>
        <w:pStyle w:val="FirstParagraph"/>
      </w:pPr>
      <w:r>
        <w:t xml:space="preserve">House 42, Road 11, Banani, Dhaka-1213, Bangladesh</w:t>
      </w:r>
    </w:p>
    <w:p>
      <w:pPr>
        <w:pStyle w:val="BodyText"/>
      </w:pPr>
      <w:r>
        <w:t xml:space="preserve">Tel: +880-2-5567-8901 | Email: quotations@meridianconsulting.com.bd</w:t>
      </w:r>
    </w:p>
    <w:p>
      <w:pPr>
        <w:pStyle w:val="BodyText"/>
      </w:pPr>
      <w:r>
        <w:t xml:space="preserve">VAT Reg. No: 001234567-0101</w:t>
      </w:r>
    </w:p>
    <w:bookmarkEnd w:id="20"/>
    <w:p>
      <w:pPr>
        <w:pStyle w:val="BodyText"/>
      </w:pPr>
      <w:r>
        <w:rPr>
          <w:bCs/>
          <w:b/>
        </w:rPr>
        <w:t xml:space="preserve">Quotation No:</w:t>
      </w:r>
      <w:r>
        <w:t xml:space="preserve"> </w:t>
      </w:r>
      <w:r>
        <w:t xml:space="preserve">MC/FE/2025/0472</w:t>
      </w:r>
    </w:p>
    <w:p>
      <w:pPr>
        <w:pStyle w:val="BodyText"/>
      </w:pPr>
      <w:r>
        <w:rPr>
          <w:bCs/>
          <w:b/>
        </w:rPr>
        <w:t xml:space="preserve">Date:</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Engagement of a</w:t>
      </w:r>
      <w:r>
        <w:t xml:space="preserve"> </w:t>
      </w:r>
      <w:r>
        <w:t xml:space="preserve">Financial Analyst</w:t>
      </w:r>
      <w:r>
        <w:t xml:space="preserve"> </w:t>
      </w:r>
      <w:r>
        <w:t xml:space="preserve">— Bangladesh Dhaka Operations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Delta Industries Group, Plot 7, Gulshan Avenue, Bangladesh Dhaka-1212</w:t>
            </w:r>
          </w:p>
        </w:tc>
      </w:tr>
      <w:tr>
        <w:tc>
          <w:tcPr/>
          <w:p>
            <w:pPr>
              <w:pStyle w:val="Compact"/>
              <w:jc w:val="left"/>
            </w:pPr>
            <w:r>
              <w:t xml:space="preserve">Attn:</w:t>
            </w:r>
          </w:p>
        </w:tc>
        <w:tc>
          <w:tcPr/>
          <w:p>
            <w:pPr>
              <w:pStyle w:val="Compact"/>
              <w:jc w:val="left"/>
            </w:pPr>
            <w:r>
              <w:t xml:space="preserve">Mr. Rafiqul Islam, Chief Financial Officer</w:t>
            </w:r>
          </w:p>
        </w:tc>
      </w:tr>
      <w:tr>
        <w:tc>
          <w:tcPr/>
          <w:p>
            <w:pPr>
              <w:pStyle w:val="Compact"/>
              <w:jc w:val="left"/>
            </w:pPr>
            <w:r>
              <w:t xml:space="preserve">Project Reference:</w:t>
            </w:r>
          </w:p>
        </w:tc>
        <w:tc>
          <w:tcPr/>
          <w:p>
            <w:pPr>
              <w:pStyle w:val="Compact"/>
              <w:jc w:val="left"/>
            </w:pPr>
            <w:r>
              <w:t xml:space="preserve">DI-FIN-2025-Q3-0091</w:t>
            </w:r>
          </w:p>
        </w:tc>
      </w:tr>
      <w:tr>
        <w:tc>
          <w:tcPr/>
          <w:p>
            <w:pPr>
              <w:pStyle w:val="Compact"/>
              <w:jc w:val="left"/>
            </w:pPr>
            <w:r>
              <w:t xml:space="preserve">Engagement Type:</w:t>
            </w:r>
          </w:p>
        </w:tc>
        <w:tc>
          <w:tcPr/>
          <w:p>
            <w:pPr>
              <w:pStyle w:val="Compact"/>
              <w:jc w:val="left"/>
            </w:pPr>
            <w:r>
              <w:t xml:space="preserve">Full-Time</w:t>
            </w:r>
            <w:r>
              <w:t xml:space="preserve"> </w:t>
            </w:r>
            <w:r>
              <w:t xml:space="preserve">Financial Analyst</w:t>
            </w:r>
            <w:r>
              <w:t xml:space="preserve"> </w:t>
            </w:r>
            <w:r>
              <w:t xml:space="preserve">Placement &amp; Advisory (12-Month Contract)</w:t>
            </w:r>
          </w:p>
        </w:tc>
      </w:tr>
      <w:tr>
        <w:tc>
          <w:tcPr/>
          <w:p>
            <w:pPr>
              <w:pStyle w:val="Compact"/>
              <w:jc w:val="left"/>
            </w:pPr>
            <w:r>
              <w:t xml:space="preserve">Work Location:</w:t>
            </w:r>
          </w:p>
        </w:tc>
        <w:tc>
          <w:tcPr/>
          <w:p>
            <w:pPr>
              <w:pStyle w:val="Compact"/>
              <w:jc w:val="left"/>
            </w:pPr>
            <w:r>
              <w:t xml:space="preserve">Corporate Office, Gulshan-2, Bangladesh Dhaka</w:t>
            </w:r>
          </w:p>
        </w:tc>
      </w:tr>
    </w:tbl>
    <w:bookmarkStart w:id="22" w:name="scope-of-services-description"/>
    <w:p>
      <w:pPr>
        <w:pStyle w:val="Heading3"/>
      </w:pPr>
      <w:r>
        <w:t xml:space="preserve">1. Scope of Services &amp; Description</w:t>
      </w:r>
    </w:p>
    <w:p>
      <w:pPr>
        <w:pStyle w:val="FirstParagraph"/>
      </w:pPr>
      <w:r>
        <w:t xml:space="preserve">This</w:t>
      </w:r>
      <w:r>
        <w:t xml:space="preserve"> </w:t>
      </w:r>
      <w:r>
        <w:t xml:space="preserve">Quotation Estimate</w:t>
      </w:r>
      <w:r>
        <w:t xml:space="preserve"> </w:t>
      </w:r>
      <w:r>
        <w:t xml:space="preserve">is issued by Meridian Consulting &amp; Analytics Ltd. to Delta Industries Group for the recruitment, onboarding, and ongoing professional management of a qualified</w:t>
      </w:r>
      <w:r>
        <w:t xml:space="preserve"> </w:t>
      </w:r>
      <w:r>
        <w:t xml:space="preserve">Financial Analyst</w:t>
      </w:r>
      <w:r>
        <w:t xml:space="preserve"> </w:t>
      </w:r>
      <w:r>
        <w:t xml:space="preserve">to be stationed at the client's headquarters in Bangladesh Dhaka. The</w:t>
      </w:r>
      <w:r>
        <w:t xml:space="preserve"> </w:t>
      </w:r>
      <w:r>
        <w:t xml:space="preserve">Financial Analyst</w:t>
      </w:r>
      <w:r>
        <w:t xml:space="preserve"> </w:t>
      </w:r>
      <w:r>
        <w:t xml:space="preserve">will be responsible for preparing monthly and quarterly financial reports, conducting variance analysis, forecasting revenue and expenditure, managing budgeting cycles, performing ratio and trend analyses, and providing strategic recommendations to the senior leadership team. The role will operate within the regulatory and tax framework of the Bangladesh Bank and the National Board of Revenue (NBR) as applicable to corporate entities in Bangladesh Dhaka.</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Recruitment, screening, and placement of a certified</w:t>
            </w:r>
            <w:r>
              <w:t xml:space="preserve"> </w:t>
            </w:r>
            <w:r>
              <w:t xml:space="preserve">Financial Analyst</w:t>
            </w:r>
            <w:r>
              <w:t xml:space="preserve"> </w:t>
            </w:r>
            <w:r>
              <w:t xml:space="preserve">(CFA/CPA qualified) in Bangladesh Dhaka</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Monthly salary and statutory benefits (PF, ESI, gratuity) for the</w:t>
            </w:r>
            <w:r>
              <w:t xml:space="preserve"> </w:t>
            </w:r>
            <w:r>
              <w:t xml:space="preserve">Financial Analyst</w:t>
            </w:r>
          </w:p>
        </w:tc>
        <w:tc>
          <w:tcPr/>
          <w:p>
            <w:pPr>
              <w:pStyle w:val="Compact"/>
              <w:jc w:val="left"/>
            </w:pPr>
            <w:r>
              <w:t xml:space="preserve">12 months</w:t>
            </w:r>
          </w:p>
        </w:tc>
        <w:tc>
          <w:tcPr/>
          <w:p>
            <w:pPr>
              <w:pStyle w:val="Compact"/>
              <w:jc w:val="left"/>
            </w:pPr>
            <w:r>
              <w:t xml:space="preserve">145,000 / month</w:t>
            </w:r>
          </w:p>
        </w:tc>
        <w:tc>
          <w:tcPr/>
          <w:p>
            <w:pPr>
              <w:pStyle w:val="Compact"/>
              <w:jc w:val="left"/>
            </w:pPr>
            <w:r>
              <w:t xml:space="preserve">1,740,000</w:t>
            </w:r>
          </w:p>
        </w:tc>
      </w:tr>
      <w:tr>
        <w:tc>
          <w:tcPr/>
          <w:p>
            <w:pPr>
              <w:pStyle w:val="Compact"/>
              <w:jc w:val="left"/>
            </w:pPr>
            <w:r>
              <w:t xml:space="preserve">3</w:t>
            </w:r>
          </w:p>
        </w:tc>
        <w:tc>
          <w:tcPr/>
          <w:p>
            <w:pPr>
              <w:pStyle w:val="Compact"/>
              <w:jc w:val="left"/>
            </w:pPr>
            <w:r>
              <w:t xml:space="preserve">Onboarding, compliance registration, and Bangladesh Dhaka labor law documentation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Quarterly performance review and KPI benchmarking of the</w:t>
            </w:r>
            <w:r>
              <w:t xml:space="preserve"> </w:t>
            </w:r>
            <w:r>
              <w:t xml:space="preserve">Financial Analyst</w:t>
            </w:r>
          </w:p>
        </w:tc>
        <w:tc>
          <w:tcPr/>
          <w:p>
            <w:pPr>
              <w:pStyle w:val="Compact"/>
              <w:jc w:val="left"/>
            </w:pPr>
            <w:r>
              <w:t xml:space="preserve">4 quarters</w:t>
            </w:r>
          </w:p>
        </w:tc>
        <w:tc>
          <w:tcPr/>
          <w:p>
            <w:pPr>
              <w:pStyle w:val="Compact"/>
              <w:jc w:val="left"/>
            </w:pPr>
            <w:r>
              <w:t xml:space="preserve">35,000 / quarter</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Professional development: CFA/CPA exam preparation support and industry seminars in Bangladesh Dhaka</w:t>
            </w:r>
          </w:p>
        </w:tc>
        <w:tc>
          <w:tcPr/>
          <w:p>
            <w:pPr>
              <w:pStyle w:val="Compact"/>
              <w:jc w:val="left"/>
            </w:pPr>
            <w:r>
              <w:t xml:space="preserve">12 months</w:t>
            </w:r>
          </w:p>
        </w:tc>
        <w:tc>
          <w:tcPr/>
          <w:p>
            <w:pPr>
              <w:pStyle w:val="Compact"/>
              <w:jc w:val="left"/>
            </w:pPr>
            <w:r>
              <w:t xml:space="preserve">60,000 / year</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Advisory retainer: monthly strategic financial planning sessions led by senior consultants</w:t>
            </w:r>
          </w:p>
        </w:tc>
        <w:tc>
          <w:tcPr/>
          <w:p>
            <w:pPr>
              <w:pStyle w:val="Compact"/>
              <w:jc w:val="left"/>
            </w:pPr>
            <w:r>
              <w:t xml:space="preserve">12 months</w:t>
            </w:r>
          </w:p>
        </w:tc>
        <w:tc>
          <w:tcPr/>
          <w:p>
            <w:pPr>
              <w:pStyle w:val="Compact"/>
              <w:jc w:val="left"/>
            </w:pPr>
            <w:r>
              <w:t xml:space="preserve">55,000 / month</w:t>
            </w:r>
          </w:p>
        </w:tc>
        <w:tc>
          <w:tcPr/>
          <w:p>
            <w:pPr>
              <w:pStyle w:val="Compact"/>
              <w:jc w:val="left"/>
            </w:pPr>
            <w:r>
              <w:t xml:space="preserve">660,000</w:t>
            </w:r>
          </w:p>
        </w:tc>
      </w:tr>
      <w:tr>
        <w:tc>
          <w:tcPr/>
          <w:p>
            <w:pPr>
              <w:pStyle w:val="Compact"/>
              <w:jc w:val="left"/>
            </w:pPr>
            <w:r>
              <w:t xml:space="preserve">7</w:t>
            </w:r>
          </w:p>
        </w:tc>
        <w:tc>
          <w:tcPr/>
          <w:p>
            <w:pPr>
              <w:pStyle w:val="Compact"/>
              <w:jc w:val="left"/>
            </w:pPr>
            <w:r>
              <w:t xml:space="preserve">Annual audit support and NBR tax filing coordination for the</w:t>
            </w:r>
            <w:r>
              <w:t xml:space="preserve"> </w:t>
            </w:r>
            <w:r>
              <w:t xml:space="preserve">Financial Analyst</w:t>
            </w:r>
            <w:r>
              <w:t xml:space="preserve">'s deliverables</w:t>
            </w:r>
          </w:p>
        </w:tc>
        <w:tc>
          <w:tcPr/>
          <w:p>
            <w:pPr>
              <w:pStyle w:val="Compact"/>
              <w:jc w:val="left"/>
            </w:pPr>
            <w:r>
              <w:t xml:space="preserve">12 months</w:t>
            </w:r>
          </w:p>
        </w:tc>
        <w:tc>
          <w:tcPr/>
          <w:p>
            <w:pPr>
              <w:pStyle w:val="Compact"/>
              <w:jc w:val="left"/>
            </w:pPr>
            <w:r>
              <w:t xml:space="preserve">80,000 / year</w:t>
            </w:r>
          </w:p>
        </w:tc>
        <w:tc>
          <w:tcPr/>
          <w:p>
            <w:pPr>
              <w:pStyle w:val="Compact"/>
              <w:jc w:val="left"/>
            </w:pPr>
            <w:r>
              <w:t xml:space="preserve">80,000</w:t>
            </w:r>
          </w:p>
        </w:tc>
      </w:tr>
      <w:tr>
        <w:tc>
          <w:tcPr/>
          <w:p>
            <w:pPr>
              <w:pStyle w:val="Compact"/>
              <w:jc w:val="left"/>
            </w:pPr>
            <w:r>
              <w:t xml:space="preserve">8</w:t>
            </w:r>
          </w:p>
        </w:tc>
        <w:tc>
          <w:tcPr/>
          <w:p>
            <w:pPr>
              <w:pStyle w:val="Compact"/>
              <w:jc w:val="left"/>
            </w:pPr>
            <w:r>
              <w:t xml:space="preserve">Contingency and miscellaneous (travel within Bangladesh Dhaka, software licenses, stationery)</w:t>
            </w:r>
          </w:p>
        </w:tc>
        <w:tc>
          <w:tcPr/>
          <w:p>
            <w:pPr>
              <w:pStyle w:val="Compact"/>
              <w:jc w:val="left"/>
            </w:pPr>
            <w:r>
              <w:t xml:space="preserve">12 months</w:t>
            </w:r>
          </w:p>
        </w:tc>
        <w:tc>
          <w:tcPr/>
          <w:p>
            <w:pPr>
              <w:pStyle w:val="Compact"/>
              <w:jc w:val="left"/>
            </w:pPr>
            <w:r>
              <w:t xml:space="preserve">30,000 / year</w:t>
            </w:r>
          </w:p>
        </w:tc>
        <w:tc>
          <w:tcPr/>
          <w:p>
            <w:pPr>
              <w:pStyle w:val="Compact"/>
              <w:jc w:val="left"/>
            </w:pPr>
            <w:r>
              <w:t xml:space="preserve">30,000</w:t>
            </w:r>
          </w:p>
        </w:tc>
      </w:tr>
      <w:tr>
        <w:tc>
          <w:tcPr>
            <w:gridSpan w:val="4"/>
          </w:tcPr>
          <w:p>
            <w:pPr>
              <w:pStyle w:val="Compact"/>
              <w:jc w:val="right"/>
            </w:pPr>
            <w:r>
              <w:t xml:space="preserve">Subtotal (BDT)</w:t>
            </w:r>
          </w:p>
        </w:tc>
        <w:tc>
          <w:tcPr/>
          <w:p>
            <w:pPr>
              <w:pStyle w:val="Compact"/>
              <w:jc w:val="left"/>
            </w:pPr>
            <w:r>
              <w:t xml:space="preserve">2,940,000</w:t>
            </w:r>
          </w:p>
        </w:tc>
      </w:tr>
      <w:tr>
        <w:tc>
          <w:tcPr>
            <w:gridSpan w:val="4"/>
          </w:tcPr>
          <w:p>
            <w:pPr>
              <w:pStyle w:val="Compact"/>
              <w:jc w:val="right"/>
            </w:pPr>
            <w:r>
              <w:t xml:space="preserve">VAT @ 15% (Bangladesh Dhaka jurisdiction)</w:t>
            </w:r>
          </w:p>
        </w:tc>
        <w:tc>
          <w:tcPr/>
          <w:p>
            <w:pPr>
              <w:pStyle w:val="Compact"/>
              <w:jc w:val="left"/>
            </w:pPr>
            <w:r>
              <w:t xml:space="preserve">441,000</w:t>
            </w:r>
          </w:p>
        </w:tc>
      </w:tr>
      <w:tr>
        <w:tc>
          <w:tcPr>
            <w:gridSpan w:val="4"/>
          </w:tcPr>
          <w:p>
            <w:pPr>
              <w:pStyle w:val="Compact"/>
              <w:jc w:val="right"/>
            </w:pPr>
            <w:r>
              <w:t xml:space="preserve">TOTAL ESTIMATED COST (BDT)</w:t>
            </w:r>
          </w:p>
        </w:tc>
        <w:tc>
          <w:tcPr/>
          <w:p>
            <w:pPr>
              <w:pStyle w:val="Compact"/>
              <w:jc w:val="left"/>
            </w:pPr>
            <w:r>
              <w:t xml:space="preserve">3,381,000</w:t>
            </w:r>
          </w:p>
        </w:tc>
      </w:tr>
    </w:tbl>
    <w:bookmarkEnd w:id="23"/>
    <w:bookmarkStart w:id="24" w:name="payment-schedule"/>
    <w:p>
      <w:pPr>
        <w:pStyle w:val="Heading3"/>
      </w:pPr>
      <w:r>
        <w:t xml:space="preserve">3. Payment Schedule</w:t>
      </w:r>
    </w:p>
    <w:p>
      <w:pPr>
        <w:numPr>
          <w:ilvl w:val="0"/>
          <w:numId w:val="1001"/>
        </w:numPr>
        <w:pStyle w:val="Compact"/>
      </w:pPr>
      <w:r>
        <w:rPr>
          <w:bCs/>
          <w:b/>
        </w:rPr>
        <w:t xml:space="preserve">Advance (30%):</w:t>
      </w:r>
      <w:r>
        <w:t xml:space="preserve"> </w:t>
      </w:r>
      <w:r>
        <w:t xml:space="preserve">BDT 1,014,300 — Due within 7 working days of acceptance of this</w:t>
      </w:r>
      <w:r>
        <w:t xml:space="preserve"> </w:t>
      </w:r>
      <w:r>
        <w:t xml:space="preserve">Quotation Estimate</w:t>
      </w:r>
      <w:r>
        <w:t xml:space="preserve">.</w:t>
      </w:r>
    </w:p>
    <w:p>
      <w:pPr>
        <w:numPr>
          <w:ilvl w:val="0"/>
          <w:numId w:val="1001"/>
        </w:numPr>
        <w:pStyle w:val="Compact"/>
      </w:pPr>
      <w:r>
        <w:rPr>
          <w:bCs/>
          <w:b/>
        </w:rPr>
        <w:t xml:space="preserve">Monthly Installments (70%):</w:t>
      </w:r>
      <w:r>
        <w:t xml:space="preserve"> </w:t>
      </w:r>
      <w:r>
        <w:t xml:space="preserve">BDT 204,867 per month — Payable on the 5th of each subsequent month for 11 months.</w:t>
      </w:r>
    </w:p>
    <w:p>
      <w:pPr>
        <w:numPr>
          <w:ilvl w:val="0"/>
          <w:numId w:val="1001"/>
        </w:numPr>
        <w:pStyle w:val="Compact"/>
      </w:pPr>
      <w:r>
        <w:t xml:space="preserve">All payments to be made via bank transfer to Meridian Consulting &amp; Analytics Ltd., Sonali Bank, Bangladesh Dhaka Branch, A/C No. 0045-8821-3367.</w:t>
      </w:r>
    </w:p>
    <w:bookmarkEnd w:id="24"/>
    <w:bookmarkStart w:id="25" w:name="terms-and-conditions"/>
    <w:p>
      <w:pPr>
        <w:pStyle w:val="Heading3"/>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rates may be revised to reflect market conditions in Bangladesh Dhaka.</w:t>
      </w:r>
    </w:p>
    <w:p>
      <w:pPr>
        <w:numPr>
          <w:ilvl w:val="0"/>
          <w:numId w:val="1002"/>
        </w:numPr>
        <w:pStyle w:val="Compact"/>
      </w:pPr>
      <w:r>
        <w:t xml:space="preserve">The</w:t>
      </w:r>
      <w:r>
        <w:t xml:space="preserve"> </w:t>
      </w:r>
      <w:r>
        <w:t xml:space="preserve">Financial Analyst</w:t>
      </w:r>
      <w:r>
        <w:t xml:space="preserve"> </w:t>
      </w:r>
      <w:r>
        <w:t xml:space="preserve">shall be subject to a 90-day probationary period. During probation, either party may terminate the engagement with 14 days' written notice.</w:t>
      </w:r>
    </w:p>
    <w:p>
      <w:pPr>
        <w:numPr>
          <w:ilvl w:val="0"/>
          <w:numId w:val="1002"/>
        </w:numPr>
        <w:pStyle w:val="Compact"/>
      </w:pPr>
      <w:r>
        <w:t xml:space="preserve">All work products, financial models, and reports generated by the</w:t>
      </w:r>
      <w:r>
        <w:t xml:space="preserve"> </w:t>
      </w:r>
      <w:r>
        <w:t xml:space="preserve">Financial Analyst</w:t>
      </w:r>
      <w:r>
        <w:t xml:space="preserve"> </w:t>
      </w:r>
      <w:r>
        <w:t xml:space="preserve">shall remain the exclusive intellectual property of Delta Industries Group.</w:t>
      </w:r>
    </w:p>
    <w:p>
      <w:pPr>
        <w:numPr>
          <w:ilvl w:val="0"/>
          <w:numId w:val="1002"/>
        </w:numPr>
        <w:pStyle w:val="Compact"/>
      </w:pPr>
      <w:r>
        <w:t xml:space="preserve">Meridian Consulting &amp; Analytics Ltd. shall maintain professional indemnity insurance covering all services rendered in Bangladesh Dhaka.</w:t>
      </w:r>
    </w:p>
    <w:p>
      <w:pPr>
        <w:numPr>
          <w:ilvl w:val="0"/>
          <w:numId w:val="1002"/>
        </w:numPr>
        <w:pStyle w:val="Compact"/>
      </w:pPr>
      <w:r>
        <w:t xml:space="preserve">Any change in scope beyond the items listed in Section 2 shall require a written amendment to this</w:t>
      </w:r>
      <w:r>
        <w:t xml:space="preserve"> </w:t>
      </w:r>
      <w:r>
        <w:t xml:space="preserve">Quotation Estimate</w:t>
      </w:r>
      <w:r>
        <w:t xml:space="preserve"> </w:t>
      </w:r>
      <w:r>
        <w:t xml:space="preserve">signed by both parties.</w:t>
      </w:r>
    </w:p>
    <w:p>
      <w:pPr>
        <w:numPr>
          <w:ilvl w:val="0"/>
          <w:numId w:val="1002"/>
        </w:numPr>
        <w:pStyle w:val="Compact"/>
      </w:pPr>
      <w:r>
        <w:t xml:space="preserve">Governing law: The laws of the People's Republic of Bangladesh. Disputes shall be resolved through arbitration in Bangladesh Dhaka under the Bangladesh Arbitration Act, 2001.</w:t>
      </w:r>
    </w:p>
    <w:p>
      <w:pPr>
        <w:numPr>
          <w:ilvl w:val="0"/>
          <w:numId w:val="1002"/>
        </w:numPr>
        <w:pStyle w:val="Compact"/>
      </w:pPr>
      <w:r>
        <w:t xml:space="preserve">Force majeure events, including but not limited to natural disasters common to the Bangladesh Dhaka region, shall suspend obligations without penalty.</w:t>
      </w:r>
    </w:p>
    <w:bookmarkEnd w:id="25"/>
    <w:bookmarkStart w:id="28" w:name="acceptance-authorization"/>
    <w:p>
      <w:pPr>
        <w:pStyle w:val="Heading3"/>
      </w:pPr>
      <w:r>
        <w:t xml:space="preserve">5. Acceptance &amp; Authorization</w:t>
      </w:r>
    </w:p>
    <w:bookmarkStart w:id="26" w:name="for-meridian-consulting-analytics-ltd."/>
    <w:p>
      <w:pPr>
        <w:pStyle w:val="Heading4"/>
      </w:pPr>
      <w:r>
        <w:t xml:space="preserve">For Meridian Consulting &amp; Analytics Ltd.</w:t>
      </w:r>
    </w:p>
    <w:p>
      <w:pPr>
        <w:pStyle w:val="FirstParagraph"/>
      </w:pPr>
      <w:r>
        <w:t xml:space="preserve">Authorized Signatory:</w:t>
      </w:r>
    </w:p>
    <w:p>
      <w:pPr>
        <w:pStyle w:val="BodyText"/>
      </w:pPr>
      <w:r>
        <w:t xml:space="preserve">Name: Farhana Akter</w:t>
      </w:r>
      <w:r>
        <w:br/>
      </w:r>
      <w:r>
        <w:t xml:space="preserve">Designation: Managing Director</w:t>
      </w:r>
      <w:r>
        <w:br/>
      </w:r>
      <w:r>
        <w:t xml:space="preserve">Date: _______________</w:t>
      </w:r>
    </w:p>
    <w:bookmarkEnd w:id="26"/>
    <w:bookmarkStart w:id="27" w:name="for-delta-industries-group-client"/>
    <w:p>
      <w:pPr>
        <w:pStyle w:val="Heading4"/>
      </w:pPr>
      <w:r>
        <w:t xml:space="preserve">For Delta Industries Group (Client)</w:t>
      </w:r>
    </w:p>
    <w:p>
      <w:pPr>
        <w:pStyle w:val="FirstParagraph"/>
      </w:pPr>
      <w:r>
        <w:t xml:space="preserve">Authorized Signatory:</w:t>
      </w:r>
    </w:p>
    <w:p>
      <w:pPr>
        <w:pStyle w:val="BodyText"/>
      </w:pPr>
      <w:r>
        <w:t xml:space="preserve">Name: Rafiqul Islam</w:t>
      </w:r>
      <w:r>
        <w:br/>
      </w:r>
      <w:r>
        <w:t xml:space="preserve">Designation: Chief Financial Officer</w:t>
      </w:r>
      <w:r>
        <w:br/>
      </w:r>
      <w:r>
        <w:t xml:space="preserve">Date: _______________</w:t>
      </w:r>
    </w:p>
    <w:bookmarkEnd w:id="27"/>
    <w:p>
      <w:pPr>
        <w:pStyle w:val="BodyText"/>
      </w:pPr>
      <w:r>
        <w:t xml:space="preserve">This</w:t>
      </w:r>
      <w:r>
        <w:t xml:space="preserve"> </w:t>
      </w:r>
      <w:r>
        <w:t xml:space="preserve">Quotation Estimate</w:t>
      </w:r>
      <w:r>
        <w:t xml:space="preserve"> </w:t>
      </w:r>
      <w:r>
        <w:t xml:space="preserve">(Ref: MC/FE/2025/0472) is a commercial document issued for the engagement of a</w:t>
      </w:r>
      <w:r>
        <w:t xml:space="preserve"> </w:t>
      </w:r>
      <w:r>
        <w:t xml:space="preserve">Financial Analyst</w:t>
      </w:r>
      <w:r>
        <w:t xml:space="preserve"> </w:t>
      </w:r>
      <w:r>
        <w:t xml:space="preserve">in Bangladesh Dhaka. It does not constitute a binding contract until countersigned by both parties. © 2025 Meridian Consulting &amp; Analytics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Bangladesh Dhaka</dc:title>
  <dc:creator/>
  <dc:language>en</dc:language>
  <cp:keywords/>
  <dcterms:created xsi:type="dcterms:W3CDTF">2026-10-10T02:37:43Z</dcterms:created>
  <dcterms:modified xsi:type="dcterms:W3CDTF">2026-10-10T02:37:43Z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