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Belgium</w:t>
      </w:r>
      <w:r>
        <w:t xml:space="preserve"> </w:t>
      </w:r>
      <w:r>
        <w:t xml:space="preserve">Brussels</w:t>
      </w:r>
    </w:p>
    <w:bookmarkStart w:id="20" w:name="meridian-consulting-advisory-bv"/>
    <w:p>
      <w:pPr>
        <w:pStyle w:val="Heading1"/>
      </w:pPr>
      <w:r>
        <w:t xml:space="preserve">Meridian Consulting &amp; Advisory BV</w:t>
      </w:r>
    </w:p>
    <w:p>
      <w:pPr>
        <w:pStyle w:val="FirstParagraph"/>
      </w:pPr>
      <w:r>
        <w:t xml:space="preserve">Rue de la Loi 142, 1040 Brussels, Belgium</w:t>
      </w:r>
    </w:p>
    <w:p>
      <w:pPr>
        <w:pStyle w:val="BodyText"/>
      </w:pPr>
      <w:r>
        <w:t xml:space="preserve">VAT: BE 0765.432.109 | Tel: +32 2 555 0142 | Email: quotations@meridian-consulting.be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QTE-2025-BRU-0478</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Belgium Brussels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NV</w:t>
      </w:r>
    </w:p>
    <w:p>
      <w:pPr>
        <w:pStyle w:val="BodyText"/>
      </w:pPr>
      <w:r>
        <w:rPr>
          <w:bCs/>
          <w:b/>
        </w:rPr>
        <w:t xml:space="preserve">Address:</w:t>
      </w:r>
      <w:r>
        <w:t xml:space="preserve"> </w:t>
      </w:r>
      <w:r>
        <w:t xml:space="preserve">Avenue Louise 250, 1050 Brussels</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[client.email@company.be]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Consulting &amp; Advisory BV to provide a comprehensive and transparent financial overview for the recruitment, onboarding, and ongoing professional engagement of a</w:t>
      </w:r>
      <w:r>
        <w:t xml:space="preserve"> </w:t>
      </w:r>
      <w:r>
        <w:t xml:space="preserve">Financial Analyst</w:t>
      </w:r>
      <w:r>
        <w:t xml:space="preserve"> </w:t>
      </w:r>
      <w:r>
        <w:t xml:space="preserve">to be based and operational within the</w:t>
      </w:r>
      <w:r>
        <w:t xml:space="preserve"> </w:t>
      </w:r>
      <w:r>
        <w:t xml:space="preserve">Belgium Brussels</w:t>
      </w:r>
      <w:r>
        <w:t xml:space="preserve"> </w:t>
      </w:r>
      <w:r>
        <w:t xml:space="preserve">metropolitan area. This document serves as a formal proposal outlining all associated costs, deliverables, timelines, and contractual obligations related to the placement of a qualified</w:t>
      </w:r>
      <w:r>
        <w:t xml:space="preserve"> </w:t>
      </w:r>
      <w:r>
        <w:t xml:space="preserve">Financial Analyst</w:t>
      </w:r>
      <w:r>
        <w:t xml:space="preserve"> </w:t>
      </w:r>
      <w:r>
        <w:t xml:space="preserve">in the client's Brussels office. All figures presented in this</w:t>
      </w:r>
      <w:r>
        <w:t xml:space="preserve"> </w:t>
      </w:r>
      <w:r>
        <w:t xml:space="preserve">Quotation Estimate</w:t>
      </w:r>
      <w:r>
        <w:t xml:space="preserve"> </w:t>
      </w:r>
      <w:r>
        <w:t xml:space="preserve">are denominated in Euros (EUR) and reflect current market rates applicable to the</w:t>
      </w:r>
      <w:r>
        <w:t xml:space="preserve"> </w:t>
      </w:r>
      <w:r>
        <w:t xml:space="preserve">Belgium Brussels</w:t>
      </w:r>
      <w:r>
        <w:t xml:space="preserve"> </w:t>
      </w:r>
      <w:r>
        <w:t xml:space="preserve">professional services sector as of the date of issuance.</w:t>
      </w:r>
    </w:p>
    <w:bookmarkEnd w:id="23"/>
    <w:bookmarkStart w:id="24" w:name="professional-profile-financial-analyst"/>
    <w:p>
      <w:pPr>
        <w:pStyle w:val="Heading2"/>
      </w:pPr>
      <w:r>
        <w:t xml:space="preserve">2. Professional Profile: Financial Analyst</w:t>
      </w:r>
    </w:p>
    <w:p>
      <w:pPr>
        <w:pStyle w:val="FirstParagraph"/>
      </w:pPr>
      <w:r>
        <w:t xml:space="preserve">The</w:t>
      </w:r>
      <w:r>
        <w:t xml:space="preserve"> </w:t>
      </w:r>
      <w:r>
        <w:t xml:space="preserve">Financial Analyst</w:t>
      </w:r>
      <w:r>
        <w:t xml:space="preserve"> </w:t>
      </w:r>
      <w:r>
        <w:t xml:space="preserve">position described in this</w:t>
      </w:r>
      <w:r>
        <w:t xml:space="preserve"> </w:t>
      </w:r>
      <w:r>
        <w:t xml:space="preserve">Quotation Estimate</w:t>
      </w:r>
      <w:r>
        <w:t xml:space="preserve"> </w:t>
      </w:r>
      <w:r>
        <w:t xml:space="preserve">encompasses a senior-level professional role requiring a minimum of five (5) years of demonstrated experience in corporate finance, financial modelling, budgeting, and strategic reporting. The ideal</w:t>
      </w:r>
      <w:r>
        <w:t xml:space="preserve"> </w:t>
      </w:r>
      <w:r>
        <w:t xml:space="preserve">Financial Analyst</w:t>
      </w:r>
      <w:r>
        <w:t xml:space="preserve"> </w:t>
      </w:r>
      <w:r>
        <w:t xml:space="preserve">candidate will hold a Master's degree in Finance, Accounting, Economics, or a closely related discipline, and will possess working proficiency in both English and French, which is essential for operating effectively within the multilingual business environment of</w:t>
      </w:r>
      <w:r>
        <w:t xml:space="preserve"> </w:t>
      </w:r>
      <w:r>
        <w:t xml:space="preserve">Belgium Brussels</w:t>
      </w:r>
      <w:r>
        <w:t xml:space="preserve">. The</w:t>
      </w:r>
      <w:r>
        <w:t xml:space="preserve"> </w:t>
      </w:r>
      <w:r>
        <w:t xml:space="preserve">Financial Analyst</w:t>
      </w:r>
      <w:r>
        <w:t xml:space="preserve"> </w:t>
      </w:r>
      <w:r>
        <w:t xml:space="preserve">will be responsible for preparing quarterly and annual financial reports, conducting variance analyses, developing financial forecasts, supporting investment committee decisions, and ensuring full compliance with Belgian and European financial reporting standards (IFRS and Belgian GAAP).</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sourcing of the Financial Analyst in Belgium Brussels</w:t>
            </w:r>
          </w:p>
        </w:tc>
        <w:tc>
          <w:tcPr/>
          <w:p>
            <w:pPr>
              <w:pStyle w:val="Compact"/>
              <w:jc w:val="left"/>
            </w:pPr>
            <w:r>
              <w:t xml:space="preserve">4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contract drafting, and Belgian employment law compliance</w:t>
            </w:r>
          </w:p>
        </w:tc>
        <w:tc>
          <w:tcPr/>
          <w:p>
            <w:pPr>
              <w:pStyle w:val="Compact"/>
              <w:jc w:val="left"/>
            </w:pPr>
            <w:r>
              <w:t xml:space="preserve">2 weeks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Monthly salary of the Financial Analyst (gross, including Belgian social contributions)</w:t>
            </w:r>
          </w:p>
        </w:tc>
        <w:tc>
          <w:tcPr/>
          <w:p>
            <w:pPr>
              <w:pStyle w:val="Compact"/>
              <w:jc w:val="left"/>
            </w:pPr>
            <w:r>
              <w:t xml:space="preserve">12 months</w:t>
            </w:r>
          </w:p>
        </w:tc>
        <w:tc>
          <w:tcPr/>
          <w:p>
            <w:pPr>
              <w:pStyle w:val="Compact"/>
              <w:jc w:val="left"/>
            </w:pPr>
            <w:r>
              <w:t xml:space="preserve">7,200.00/mo</w:t>
            </w:r>
          </w:p>
        </w:tc>
        <w:tc>
          <w:tcPr/>
          <w:p>
            <w:pPr>
              <w:pStyle w:val="Compact"/>
              <w:jc w:val="left"/>
            </w:pPr>
            <w:r>
              <w:t xml:space="preserve">86,400.00</w:t>
            </w:r>
          </w:p>
        </w:tc>
      </w:tr>
      <w:tr>
        <w:tc>
          <w:tcPr/>
          <w:p>
            <w:pPr>
              <w:pStyle w:val="Compact"/>
              <w:jc w:val="left"/>
            </w:pPr>
            <w:r>
              <w:t xml:space="preserve">04</w:t>
            </w:r>
          </w:p>
        </w:tc>
        <w:tc>
          <w:tcPr/>
          <w:p>
            <w:pPr>
              <w:pStyle w:val="Compact"/>
              <w:jc w:val="left"/>
            </w:pPr>
            <w:r>
              <w:t xml:space="preserve">Office space allocation and workstation setup in Brussels</w:t>
            </w:r>
          </w:p>
        </w:tc>
        <w:tc>
          <w:tcPr/>
          <w:p>
            <w:pPr>
              <w:pStyle w:val="Compact"/>
              <w:jc w:val="left"/>
            </w:pPr>
            <w:r>
              <w:t xml:space="preserve">12 months</w:t>
            </w:r>
          </w:p>
        </w:tc>
        <w:tc>
          <w:tcPr/>
          <w:p>
            <w:pPr>
              <w:pStyle w:val="Compact"/>
              <w:jc w:val="left"/>
            </w:pPr>
            <w:r>
              <w:t xml:space="preserve">650.00/mo</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Software licences (SAP, Bloomberg Terminal, Power BI)</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Professional development and IFRS certification support</w:t>
            </w:r>
          </w:p>
        </w:tc>
        <w:tc>
          <w:tcPr/>
          <w:p>
            <w:pPr>
              <w:pStyle w:val="Compact"/>
              <w:jc w:val="left"/>
            </w:pPr>
            <w:r>
              <w:t xml:space="preserve">12 months</w:t>
            </w:r>
          </w:p>
        </w:tc>
        <w:tc>
          <w:tcPr/>
          <w:p>
            <w:pPr>
              <w:pStyle w:val="Compact"/>
              <w:jc w:val="left"/>
            </w:pPr>
            <w:r>
              <w:t xml:space="preserve">350.00/mo</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Administrative and HR management (Belgian payroll, tax filings)</w:t>
            </w:r>
          </w:p>
        </w:tc>
        <w:tc>
          <w:tcPr/>
          <w:p>
            <w:pPr>
              <w:pStyle w:val="Compact"/>
              <w:jc w:val="left"/>
            </w:pPr>
            <w:r>
              <w:t xml:space="preserve">12 months</w:t>
            </w:r>
          </w:p>
        </w:tc>
        <w:tc>
          <w:tcPr/>
          <w:p>
            <w:pPr>
              <w:pStyle w:val="Compact"/>
              <w:jc w:val="left"/>
            </w:pPr>
            <w:r>
              <w:t xml:space="preserve">480.00/mo</w:t>
            </w:r>
          </w:p>
        </w:tc>
        <w:tc>
          <w:tcPr/>
          <w:p>
            <w:pPr>
              <w:pStyle w:val="Compact"/>
              <w:jc w:val="left"/>
            </w:pPr>
            <w:r>
              <w:t xml:space="preserve">5,760.00</w:t>
            </w:r>
          </w:p>
        </w:tc>
      </w:tr>
      <w:tr>
        <w:tc>
          <w:tcPr/>
          <w:p>
            <w:pPr>
              <w:pStyle w:val="Compact"/>
              <w:jc w:val="left"/>
            </w:pPr>
            <w:r>
              <w:t xml:space="preserve">08</w:t>
            </w:r>
          </w:p>
        </w:tc>
        <w:tc>
          <w:tcPr/>
          <w:p>
            <w:pPr>
              <w:pStyle w:val="Compact"/>
              <w:jc w:val="left"/>
            </w:pPr>
            <w:r>
              <w:t xml:space="preserve">Performance review and strategic advisory (quarterly)</w:t>
            </w:r>
          </w:p>
        </w:tc>
        <w:tc>
          <w:tcPr/>
          <w:p>
            <w:pPr>
              <w:pStyle w:val="Compact"/>
              <w:jc w:val="left"/>
            </w:pPr>
            <w:r>
              <w:t xml:space="preserve">4 sessions</w:t>
            </w:r>
          </w:p>
        </w:tc>
        <w:tc>
          <w:tcPr/>
          <w:p>
            <w:pPr>
              <w:pStyle w:val="Compact"/>
              <w:jc w:val="left"/>
            </w:pPr>
            <w:r>
              <w:t xml:space="preserve">1,500.00/session</w:t>
            </w:r>
          </w:p>
        </w:tc>
        <w:tc>
          <w:tcPr/>
          <w:p>
            <w:pPr>
              <w:pStyle w:val="Compact"/>
              <w:jc w:val="left"/>
            </w:pPr>
            <w:r>
              <w:t xml:space="preserve">6,000.00</w:t>
            </w:r>
          </w:p>
        </w:tc>
      </w:tr>
      <w:tr>
        <w:tc>
          <w:tcPr>
            <w:gridSpan w:val="4"/>
          </w:tcPr>
          <w:p>
            <w:pPr>
              <w:pStyle w:val="Compact"/>
              <w:jc w:val="left"/>
            </w:pPr>
            <w:r>
              <w:t xml:space="preserve">Subtotal (excl. VAT)</w:t>
            </w:r>
          </w:p>
        </w:tc>
        <w:tc>
          <w:tcPr/>
          <w:p>
            <w:pPr>
              <w:pStyle w:val="Compact"/>
              <w:jc w:val="left"/>
            </w:pPr>
            <w:r>
              <w:t xml:space="preserve">131,860.00</w:t>
            </w:r>
          </w:p>
        </w:tc>
      </w:tr>
      <w:tr>
        <w:tc>
          <w:tcPr>
            <w:gridSpan w:val="4"/>
          </w:tcPr>
          <w:p>
            <w:pPr>
              <w:pStyle w:val="Compact"/>
              <w:jc w:val="left"/>
            </w:pPr>
            <w:r>
              <w:t xml:space="preserve">VAT (21% – Belgian standard rate)</w:t>
            </w:r>
          </w:p>
        </w:tc>
        <w:tc>
          <w:tcPr/>
          <w:p>
            <w:pPr>
              <w:pStyle w:val="Compact"/>
              <w:jc w:val="left"/>
            </w:pPr>
            <w:r>
              <w:t xml:space="preserve">27,690.60</w:t>
            </w:r>
          </w:p>
        </w:tc>
      </w:tr>
      <w:tr>
        <w:tc>
          <w:tcPr>
            <w:gridSpan w:val="4"/>
          </w:tcPr>
          <w:p>
            <w:pPr>
              <w:pStyle w:val="Compact"/>
              <w:jc w:val="left"/>
            </w:pPr>
            <w:r>
              <w:rPr>
                <w:bCs/>
                <w:b/>
              </w:rPr>
              <w:t xml:space="preserve">TOTAL (incl. VAT)</w:t>
            </w:r>
          </w:p>
        </w:tc>
        <w:tc>
          <w:tcPr/>
          <w:p>
            <w:pPr>
              <w:pStyle w:val="Compact"/>
              <w:jc w:val="left"/>
            </w:pPr>
            <w:r>
              <w:rPr>
                <w:bCs/>
                <w:b/>
              </w:rPr>
              <w:t xml:space="preserve">159,550.60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15 July 2025, all rates and conditions are subject to revision based on prevailing market conditions in Belgium Brussels.</w:t>
      </w:r>
    </w:p>
    <w:p>
      <w:pPr>
        <w:numPr>
          <w:ilvl w:val="0"/>
          <w:numId w:val="1001"/>
        </w:numPr>
        <w:pStyle w:val="Compact"/>
      </w:pPr>
      <w:r>
        <w:rPr>
          <w:bCs/>
          <w:b/>
        </w:rPr>
        <w:t xml:space="preserve">Payment Terms:</w:t>
      </w:r>
      <w:r>
        <w:t xml:space="preserve"> </w:t>
      </w:r>
      <w:r>
        <w:t xml:space="preserve">A 30% advance payment is due upon acceptance of this Quotation Estimate. The remaining balance shall be invoiced monthly in arrears, payable within thirty (30) days of invoice date via bank transfer to the Meridian Consulting &amp; Advisory BV account at KBC Brussels (IBAN: BE68 5390 0754 7034).</w:t>
      </w:r>
    </w:p>
    <w:p>
      <w:pPr>
        <w:numPr>
          <w:ilvl w:val="0"/>
          <w:numId w:val="1001"/>
        </w:numPr>
        <w:pStyle w:val="Compact"/>
      </w:pPr>
      <w:r>
        <w:rPr>
          <w:bCs/>
          <w:b/>
        </w:rPr>
        <w:t xml:space="preserve">Contract Duration:</w:t>
      </w:r>
      <w:r>
        <w:t xml:space="preserve"> </w:t>
      </w:r>
      <w:r>
        <w:t xml:space="preserve">The engagement of the Financial Analyst is proposed for an initial period of twelve (12) months, renewable by mutual written agreement. Termination may be effected by either party with a notice period of sixty (60) days, in accordance with Belgian labour law (Royal Decree of 4 March 1984).</w:t>
      </w:r>
    </w:p>
    <w:p>
      <w:pPr>
        <w:numPr>
          <w:ilvl w:val="0"/>
          <w:numId w:val="1001"/>
        </w:numPr>
        <w:pStyle w:val="Compact"/>
      </w:pPr>
      <w:r>
        <w:rPr>
          <w:bCs/>
          <w:b/>
        </w:rPr>
        <w:t xml:space="preserve">Compliance:</w:t>
      </w:r>
      <w:r>
        <w:t xml:space="preserve"> </w:t>
      </w:r>
      <w:r>
        <w:t xml:space="preserve">All employment and tax obligations related to the Financial Analyst shall be managed in strict compliance with the Belgian Federal Public Service Finance, the National Social Security Office (ONSS), and applicable EU directives. The client shall be fully indemnified against any non-compliance arising from the engagement.</w:t>
      </w:r>
    </w:p>
    <w:p>
      <w:pPr>
        <w:numPr>
          <w:ilvl w:val="0"/>
          <w:numId w:val="1001"/>
        </w:numPr>
        <w:pStyle w:val="Compact"/>
      </w:pPr>
      <w:r>
        <w:rPr>
          <w:bCs/>
          <w:b/>
        </w:rPr>
        <w:t xml:space="preserve">Confidentiality:</w:t>
      </w:r>
      <w:r>
        <w:t xml:space="preserve"> </w:t>
      </w:r>
      <w:r>
        <w:t xml:space="preserve">All financial data, models, and strategic information handled by the Financial Analyst in Belgium Brussels shall be subject to a strict non-disclosure agreement (NDA) executed prior to commencement of duties.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political instability, or government-mandated closures in Belgium Brussels.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Belgium. Any disputes shall be submitted to the exclusive jurisdiction of the Commercial Court of Brussels.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Consulting &amp; Advisory BV to proceed with the recruitment, onboarding, and management of the</w:t>
      </w:r>
      <w:r>
        <w:t xml:space="preserve"> </w:t>
      </w:r>
      <w:r>
        <w:t xml:space="preserve">Financial Analyst</w:t>
      </w:r>
      <w:r>
        <w:t xml:space="preserve"> </w:t>
      </w:r>
      <w:r>
        <w:t xml:space="preserve">position in</w:t>
      </w:r>
      <w:r>
        <w:t xml:space="preserve"> </w:t>
      </w:r>
      <w:r>
        <w:t xml:space="preserve">Belgium Brussels</w:t>
      </w:r>
      <w:r>
        <w:t xml:space="preserve"> </w:t>
      </w:r>
      <w:r>
        <w:t xml:space="preserve">under the terms and conditions set forth herein. This signature constitutes a binding acceptance of all rates, timelines, and obligations detailed in this document.</w:t>
      </w:r>
    </w:p>
    <w:bookmarkEnd w:id="27"/>
    <w:p>
      <w:pPr>
        <w:pStyle w:val="BodyText"/>
      </w:pPr>
      <w:r>
        <w:rPr>
          <w:bCs/>
          <w:b/>
        </w:rPr>
        <w:t xml:space="preserve">For Meridian Consulting &amp; Advisory BV</w:t>
      </w:r>
    </w:p>
    <w:p>
      <w:pPr>
        <w:pStyle w:val="BodyText"/>
      </w:pPr>
      <w:r>
        <w:t xml:space="preserve">Name: Jean-Pierre Vandenberghe</w:t>
      </w:r>
      <w:r>
        <w:br/>
      </w:r>
      <w:r>
        <w:t xml:space="preserve">Title: Managing Director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Meridian Consulting &amp; Advisory BV | Rue de la Loi 142, 1040 Brussels, Belgium | BE 0765.432.109</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QTE-2025-BRU-0478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Belgium Brussels</dc:title>
  <dc:creator/>
  <dc:language>en</dc:language>
  <cp:keywords/>
  <dcterms:created xsi:type="dcterms:W3CDTF">2026-10-10T02:33:46Z</dcterms:created>
  <dcterms:modified xsi:type="dcterms:W3CDTF">2026-10-10T02:33:46Z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