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Prepared for the Canada Toronto Market</w:t>
      </w:r>
    </w:p>
    <w:bookmarkEnd w:id="20"/>
    <w:p>
      <w:pPr>
        <w:pStyle w:val="BodyText"/>
      </w:pPr>
      <w:r>
        <w:rPr>
          <w:bCs/>
          <w:b/>
        </w:rPr>
        <w:t xml:space="preserve">Quotation Estimate No.:</w:t>
      </w:r>
      <w:r>
        <w:t xml:space="preserve"> </w:t>
      </w:r>
      <w:r>
        <w:t xml:space="preserve">QE-2025-TOR-0472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CAD (Canadian Dollars)</w:t>
      </w:r>
    </w:p>
    <w:bookmarkStart w:id="23" w:name="parties-involved"/>
    <w:p>
      <w:pPr>
        <w:pStyle w:val="Heading2"/>
      </w:pPr>
      <w:r>
        <w:t xml:space="preserve">1. Parties Involved</w:t>
      </w:r>
    </w:p>
    <w:bookmarkStart w:id="21" w:name="service-provider"/>
    <w:p>
      <w:pPr>
        <w:pStyle w:val="Heading3"/>
      </w:pPr>
      <w:r>
        <w:t xml:space="preserve">Service Provider</w:t>
      </w:r>
    </w:p>
    <w:p>
      <w:pPr>
        <w:pStyle w:val="FirstParagraph"/>
      </w:pPr>
      <w:r>
        <w:rPr>
          <w:bCs/>
          <w:b/>
        </w:rPr>
        <w:t xml:space="preserve">Meridian Analytics Group Inc.</w:t>
      </w:r>
    </w:p>
    <w:p>
      <w:pPr>
        <w:pStyle w:val="BodyText"/>
      </w:pPr>
      <w:r>
        <w:t xml:space="preserve">250 King Street West, Suite 1400</w:t>
      </w:r>
    </w:p>
    <w:p>
      <w:pPr>
        <w:pStyle w:val="BodyText"/>
      </w:pPr>
      <w:r>
        <w:t xml:space="preserve">Toronto, Ontario M5V 2X1</w:t>
      </w:r>
    </w:p>
    <w:p>
      <w:pPr>
        <w:pStyle w:val="BodyText"/>
      </w:pPr>
      <w:r>
        <w:t xml:space="preserve">Canada</w:t>
      </w:r>
    </w:p>
    <w:p>
      <w:pPr>
        <w:pStyle w:val="BodyText"/>
      </w:pPr>
      <w:r>
        <w:t xml:space="preserve">Phone: +1 (416) 555-0198</w:t>
      </w:r>
    </w:p>
    <w:p>
      <w:pPr>
        <w:pStyle w:val="BodyText"/>
      </w:pPr>
      <w:r>
        <w:t xml:space="preserve">Email: estimates@meridiananalytics.ca</w:t>
      </w:r>
    </w:p>
    <w:p>
      <w:pPr>
        <w:pStyle w:val="BodyText"/>
      </w:pPr>
      <w:r>
        <w:t xml:space="preserve">BN: 84215-7362-RR0001</w:t>
      </w:r>
    </w:p>
    <w:bookmarkEnd w:id="21"/>
    <w:bookmarkStart w:id="22" w:name="client-recipient"/>
    <w:p>
      <w:pPr>
        <w:pStyle w:val="Heading3"/>
      </w:pPr>
      <w:r>
        <w:t xml:space="preserve">Client / Recipient</w:t>
      </w:r>
    </w:p>
    <w:p>
      <w:pPr>
        <w:pStyle w:val="FirstParagraph"/>
      </w:pPr>
      <w:r>
        <w:rPr>
          <w:bCs/>
          <w:b/>
        </w:rPr>
        <w:t xml:space="preserve">Northlake Capital Partners Ltd.</w:t>
      </w:r>
    </w:p>
    <w:p>
      <w:pPr>
        <w:pStyle w:val="BodyText"/>
      </w:pPr>
      <w:r>
        <w:t xml:space="preserve">100 Bay Street, Floor 22</w:t>
      </w:r>
    </w:p>
    <w:p>
      <w:pPr>
        <w:pStyle w:val="BodyText"/>
      </w:pPr>
      <w:r>
        <w:t xml:space="preserve">Toronto, Ontario M5J 2J8</w:t>
      </w:r>
    </w:p>
    <w:p>
      <w:pPr>
        <w:pStyle w:val="BodyText"/>
      </w:pPr>
      <w:r>
        <w:t xml:space="preserve">Canada</w:t>
      </w:r>
    </w:p>
    <w:p>
      <w:pPr>
        <w:pStyle w:val="BodyText"/>
      </w:pPr>
      <w:r>
        <w:t xml:space="preserve">Attn: Ms. Catherine Doyle, VP of Finance</w:t>
      </w:r>
    </w:p>
    <w:p>
      <w:pPr>
        <w:pStyle w:val="BodyText"/>
      </w:pPr>
      <w:r>
        <w:t xml:space="preserve">Phone: +1 (416) 555-0342</w:t>
      </w:r>
    </w:p>
    <w:p>
      <w:pPr>
        <w:pStyle w:val="BodyText"/>
      </w:pPr>
      <w:r>
        <w:t xml:space="preserve">Email: c.doyle@northlakecapital.ca</w:t>
      </w:r>
    </w:p>
    <w:bookmarkEnd w:id="22"/>
    <w:bookmarkEnd w:id="23"/>
    <w:bookmarkStart w:id="24" w:name="X0b6fe630a3fe4512e60812b41622f7f5ba8ba08"/>
    <w:p>
      <w:pPr>
        <w:pStyle w:val="Heading2"/>
      </w:pPr>
      <w:r>
        <w:t xml:space="preserve">2. Scope of Work – Financial Analyst Engagement</w:t>
      </w:r>
    </w:p>
    <w:p>
      <w:pPr>
        <w:pStyle w:val="FirstParagraph"/>
      </w:pPr>
      <w:r>
        <w:t xml:space="preserve">This</w:t>
      </w:r>
      <w:r>
        <w:t xml:space="preserve"> </w:t>
      </w:r>
      <w:r>
        <w:t xml:space="preserve">Quotation Estimate</w:t>
      </w:r>
      <w:r>
        <w:t xml:space="preserve"> </w:t>
      </w:r>
      <w:r>
        <w:t xml:space="preserve">outlines the professional fees and associated costs for the engagement of a senior</w:t>
      </w:r>
      <w:r>
        <w:t xml:space="preserve"> </w:t>
      </w:r>
      <w:r>
        <w:t xml:space="preserve">Financial Analyst</w:t>
      </w:r>
      <w:r>
        <w:t xml:space="preserve"> </w:t>
      </w:r>
      <w:r>
        <w:t xml:space="preserve">to support Northlake Capital Partners Ltd. in the Canada Toronto financial district. The scope of work encompasses the following deliverables and responsibilities:</w:t>
      </w:r>
    </w:p>
    <w:p>
      <w:pPr>
        <w:numPr>
          <w:ilvl w:val="0"/>
          <w:numId w:val="1001"/>
        </w:numPr>
        <w:pStyle w:val="Compact"/>
      </w:pPr>
      <w:r>
        <w:rPr>
          <w:bCs/>
          <w:b/>
        </w:rPr>
        <w:t xml:space="preserve">Financial Modelling &amp; Forecasting:</w:t>
      </w:r>
      <w:r>
        <w:t xml:space="preserve"> </w:t>
      </w:r>
      <w:r>
        <w:t xml:space="preserve">Development and maintenance of multi-year financial models, including revenue projections, cost structure analysis, and cash flow forecasting tailored to the Canada Toronto economic landscape and applicable Canadian regulatory frameworks.</w:t>
      </w:r>
    </w:p>
    <w:p>
      <w:pPr>
        <w:numPr>
          <w:ilvl w:val="0"/>
          <w:numId w:val="1001"/>
        </w:numPr>
        <w:pStyle w:val="Compact"/>
      </w:pPr>
      <w:r>
        <w:rPr>
          <w:bCs/>
          <w:b/>
        </w:rPr>
        <w:t xml:space="preserve">Investment Analysis &amp; Due Diligence:</w:t>
      </w:r>
      <w:r>
        <w:t xml:space="preserve"> </w:t>
      </w:r>
      <w:r>
        <w:t xml:space="preserve">Comprehensive evaluation of potential investment opportunities, portfolio performance benchmarking, and risk assessment in alignment with Canadian Securities Administrators (CSA) guidelines.</w:t>
      </w:r>
    </w:p>
    <w:p>
      <w:pPr>
        <w:numPr>
          <w:ilvl w:val="0"/>
          <w:numId w:val="1001"/>
        </w:numPr>
        <w:pStyle w:val="Compact"/>
      </w:pPr>
      <w:r>
        <w:rPr>
          <w:bCs/>
          <w:b/>
        </w:rPr>
        <w:t xml:space="preserve">Regulatory Reporting &amp; Compliance:</w:t>
      </w:r>
      <w:r>
        <w:t xml:space="preserve"> </w:t>
      </w:r>
      <w:r>
        <w:t xml:space="preserve">Preparation of quarterly and annual financial reports compliant with IFRS standards as mandated by the Canadian Accounting Standards Board (AcSB), including filings relevant to the Ontario Securities Commission.</w:t>
      </w:r>
    </w:p>
    <w:p>
      <w:pPr>
        <w:numPr>
          <w:ilvl w:val="0"/>
          <w:numId w:val="1001"/>
        </w:numPr>
        <w:pStyle w:val="Compact"/>
      </w:pPr>
      <w:r>
        <w:rPr>
          <w:bCs/>
          <w:b/>
        </w:rPr>
        <w:t xml:space="preserve">Strategic Advisory Support:</w:t>
      </w:r>
      <w:r>
        <w:t xml:space="preserve"> </w:t>
      </w:r>
      <w:r>
        <w:t xml:space="preserve">Provision of data-driven insights to the executive leadership team regarding capital allocation, mergers and acquisitions feasibility, and market positioning within the Canada Toronto metropolitan financial sector.</w:t>
      </w:r>
    </w:p>
    <w:p>
      <w:pPr>
        <w:numPr>
          <w:ilvl w:val="0"/>
          <w:numId w:val="1001"/>
        </w:numPr>
        <w:pStyle w:val="Compact"/>
      </w:pPr>
      <w:r>
        <w:rPr>
          <w:bCs/>
          <w:b/>
        </w:rPr>
        <w:t xml:space="preserve">Budgeting &amp; Variance Analysis:</w:t>
      </w:r>
      <w:r>
        <w:t xml:space="preserve"> </w:t>
      </w:r>
      <w:r>
        <w:t xml:space="preserve">Monthly preparation of budget-to-actual variance reports, departmental cost tracking, and recommendations for operational efficiency improvements.</w:t>
      </w:r>
    </w:p>
    <w:bookmarkEnd w:id="24"/>
    <w:bookmarkStart w:id="25" w:name="detailed-cost-breakdown"/>
    <w:p>
      <w:pPr>
        <w:pStyle w:val="Heading2"/>
      </w:pPr>
      <w:r>
        <w:t xml:space="preserve">3. Detailed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Senior Financial Analyst – Core Engagement (modelling, forecasting, reporting)</w:t>
            </w:r>
          </w:p>
        </w:tc>
        <w:tc>
          <w:tcPr/>
          <w:p>
            <w:pPr>
              <w:pStyle w:val="Compact"/>
              <w:jc w:val="left"/>
            </w:pPr>
            <w:r>
              <w:t xml:space="preserve">6 months</w:t>
            </w:r>
          </w:p>
        </w:tc>
        <w:tc>
          <w:tcPr/>
          <w:p>
            <w:pPr>
              <w:pStyle w:val="Compact"/>
              <w:jc w:val="left"/>
            </w:pPr>
            <w:r>
              <w:t xml:space="preserve">$145,000 / yr</w:t>
            </w:r>
          </w:p>
        </w:tc>
        <w:tc>
          <w:tcPr/>
          <w:p>
            <w:pPr>
              <w:pStyle w:val="Compact"/>
              <w:jc w:val="left"/>
            </w:pPr>
            <w:r>
              <w:t xml:space="preserve">$72,500.00</w:t>
            </w:r>
          </w:p>
        </w:tc>
      </w:tr>
      <w:tr>
        <w:tc>
          <w:tcPr/>
          <w:p>
            <w:pPr>
              <w:pStyle w:val="Compact"/>
              <w:jc w:val="left"/>
            </w:pPr>
            <w:r>
              <w:t xml:space="preserve">02</w:t>
            </w:r>
          </w:p>
        </w:tc>
        <w:tc>
          <w:tcPr/>
          <w:p>
            <w:pPr>
              <w:pStyle w:val="Compact"/>
              <w:jc w:val="left"/>
            </w:pPr>
            <w:r>
              <w:t xml:space="preserve">Investment Due Diligence &amp; Portfolio Analysis (project-based)</w:t>
            </w:r>
          </w:p>
        </w:tc>
        <w:tc>
          <w:tcPr/>
          <w:p>
            <w:pPr>
              <w:pStyle w:val="Compact"/>
              <w:jc w:val="left"/>
            </w:pPr>
            <w:r>
              <w:t xml:space="preserve">3 months</w:t>
            </w:r>
          </w:p>
        </w:tc>
        <w:tc>
          <w:tcPr/>
          <w:p>
            <w:pPr>
              <w:pStyle w:val="Compact"/>
              <w:jc w:val="left"/>
            </w:pPr>
            <w:r>
              <w:t xml:space="preserve">$95,000 / yr</w:t>
            </w:r>
          </w:p>
        </w:tc>
        <w:tc>
          <w:tcPr/>
          <w:p>
            <w:pPr>
              <w:pStyle w:val="Compact"/>
              <w:jc w:val="left"/>
            </w:pPr>
            <w:r>
              <w:t xml:space="preserve">$23,750.00</w:t>
            </w:r>
          </w:p>
        </w:tc>
      </w:tr>
      <w:tr>
        <w:tc>
          <w:tcPr/>
          <w:p>
            <w:pPr>
              <w:pStyle w:val="Compact"/>
              <w:jc w:val="left"/>
            </w:pPr>
            <w:r>
              <w:t xml:space="preserve">03</w:t>
            </w:r>
          </w:p>
        </w:tc>
        <w:tc>
          <w:tcPr/>
          <w:p>
            <w:pPr>
              <w:pStyle w:val="Compact"/>
              <w:jc w:val="left"/>
            </w:pPr>
            <w:r>
              <w:t xml:space="preserve">Regulatory Compliance &amp; IFRS Reporting Support (Ontario / Canada)</w:t>
            </w:r>
          </w:p>
        </w:tc>
        <w:tc>
          <w:tcPr/>
          <w:p>
            <w:pPr>
              <w:pStyle w:val="Compact"/>
              <w:jc w:val="left"/>
            </w:pPr>
            <w:r>
              <w:t xml:space="preserve">6 months</w:t>
            </w:r>
          </w:p>
        </w:tc>
        <w:tc>
          <w:tcPr/>
          <w:p>
            <w:pPr>
              <w:pStyle w:val="Compact"/>
              <w:jc w:val="left"/>
            </w:pPr>
            <w:r>
              <w:t xml:space="preserve">$60,000 / yr</w:t>
            </w:r>
          </w:p>
        </w:tc>
        <w:tc>
          <w:tcPr/>
          <w:p>
            <w:pPr>
              <w:pStyle w:val="Compact"/>
              <w:jc w:val="left"/>
            </w:pPr>
            <w:r>
              <w:t xml:space="preserve">$30,000.00</w:t>
            </w:r>
          </w:p>
        </w:tc>
      </w:tr>
      <w:tr>
        <w:tc>
          <w:tcPr/>
          <w:p>
            <w:pPr>
              <w:pStyle w:val="Compact"/>
              <w:jc w:val="left"/>
            </w:pPr>
            <w:r>
              <w:t xml:space="preserve">04</w:t>
            </w:r>
          </w:p>
        </w:tc>
        <w:tc>
          <w:tcPr/>
          <w:p>
            <w:pPr>
              <w:pStyle w:val="Compact"/>
              <w:jc w:val="left"/>
            </w:pPr>
            <w:r>
              <w:t xml:space="preserve">Strategic Advisory &amp; Executive Briefings (Canada Toronto market)</w:t>
            </w:r>
          </w:p>
        </w:tc>
        <w:tc>
          <w:tcPr/>
          <w:p>
            <w:pPr>
              <w:pStyle w:val="Compact"/>
              <w:jc w:val="left"/>
            </w:pPr>
            <w:r>
              <w:t xml:space="preserve">6 months</w:t>
            </w:r>
          </w:p>
        </w:tc>
        <w:tc>
          <w:tcPr/>
          <w:p>
            <w:pPr>
              <w:pStyle w:val="Compact"/>
              <w:jc w:val="left"/>
            </w:pPr>
            <w:r>
              <w:t xml:space="preserve">$48,000 / yr</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Software Licences &amp; Data Subscriptions (Bloomberg Terminal, FactSet, S&amp;P Capital IQ)</w:t>
            </w:r>
          </w:p>
        </w:tc>
        <w:tc>
          <w:tcPr/>
          <w:p>
            <w:pPr>
              <w:pStyle w:val="Compact"/>
              <w:jc w:val="left"/>
            </w:pPr>
            <w:r>
              <w:t xml:space="preserve">6 months</w:t>
            </w:r>
          </w:p>
        </w:tc>
        <w:tc>
          <w:tcPr/>
          <w:p>
            <w:pPr>
              <w:pStyle w:val="Compact"/>
              <w:jc w:val="left"/>
            </w:pPr>
            <w:r>
              <w:t xml:space="preserve">Flat fee</w:t>
            </w:r>
          </w:p>
        </w:tc>
        <w:tc>
          <w:tcPr/>
          <w:p>
            <w:pPr>
              <w:pStyle w:val="Compact"/>
              <w:jc w:val="left"/>
            </w:pPr>
            <w:r>
              <w:t xml:space="preserve">$18,600.00</w:t>
            </w:r>
          </w:p>
        </w:tc>
      </w:tr>
      <w:tr>
        <w:tc>
          <w:tcPr/>
          <w:p>
            <w:pPr>
              <w:pStyle w:val="Compact"/>
              <w:jc w:val="left"/>
            </w:pPr>
            <w:r>
              <w:t xml:space="preserve">06</w:t>
            </w:r>
          </w:p>
        </w:tc>
        <w:tc>
          <w:tcPr/>
          <w:p>
            <w:pPr>
              <w:pStyle w:val="Compact"/>
              <w:jc w:val="left"/>
            </w:pPr>
            <w:r>
              <w:t xml:space="preserve">Onboarding, Training &amp; Knowledge Transfer (Canada Toronto office)</w:t>
            </w:r>
          </w:p>
        </w:tc>
        <w:tc>
          <w:tcPr/>
          <w:p>
            <w:pPr>
              <w:pStyle w:val="Compact"/>
              <w:jc w:val="left"/>
            </w:pPr>
            <w:r>
              <w:t xml:space="preserve">2 weeks</w:t>
            </w:r>
          </w:p>
        </w:tc>
        <w:tc>
          <w:tcPr/>
          <w:p>
            <w:pPr>
              <w:pStyle w:val="Compact"/>
              <w:jc w:val="left"/>
            </w:pPr>
            <w:r>
              <w:t xml:space="preserve">Flat fee</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Travel &amp; Local Transportation (within Toronto GTA)</w:t>
            </w:r>
          </w:p>
        </w:tc>
        <w:tc>
          <w:tcPr/>
          <w:p>
            <w:pPr>
              <w:pStyle w:val="Compact"/>
              <w:jc w:val="left"/>
            </w:pPr>
            <w:r>
              <w:t xml:space="preserve">6 months</w:t>
            </w:r>
          </w:p>
        </w:tc>
        <w:tc>
          <w:tcPr/>
          <w:p>
            <w:pPr>
              <w:pStyle w:val="Compact"/>
              <w:jc w:val="left"/>
            </w:pPr>
            <w:r>
              <w:t xml:space="preserve">Estimated</w:t>
            </w:r>
          </w:p>
        </w:tc>
        <w:tc>
          <w:tcPr/>
          <w:p>
            <w:pPr>
              <w:pStyle w:val="Compact"/>
              <w:jc w:val="left"/>
            </w:pPr>
            <w:r>
              <w:t xml:space="preserve">$3,200.00</w:t>
            </w:r>
          </w:p>
        </w:tc>
      </w:tr>
      <w:tr>
        <w:tc>
          <w:tcPr>
            <w:gridSpan w:val="4"/>
          </w:tcPr>
          <w:p>
            <w:pPr>
              <w:pStyle w:val="Compact"/>
              <w:jc w:val="left"/>
            </w:pPr>
            <w:r>
              <w:t xml:space="preserve">Subtotal</w:t>
            </w:r>
          </w:p>
        </w:tc>
        <w:tc>
          <w:tcPr/>
          <w:p>
            <w:pPr>
              <w:pStyle w:val="Compact"/>
              <w:jc w:val="left"/>
            </w:pPr>
            <w:r>
              <w:t xml:space="preserve">$176,550.00</w:t>
            </w:r>
          </w:p>
        </w:tc>
      </w:tr>
      <w:tr>
        <w:tc>
          <w:tcPr>
            <w:gridSpan w:val="4"/>
          </w:tcPr>
          <w:p>
            <w:pPr>
              <w:pStyle w:val="Compact"/>
              <w:jc w:val="left"/>
            </w:pPr>
            <w:r>
              <w:t xml:space="preserve">HST (13% – Ontario, Canada)</w:t>
            </w:r>
          </w:p>
        </w:tc>
        <w:tc>
          <w:tcPr/>
          <w:p>
            <w:pPr>
              <w:pStyle w:val="Compact"/>
              <w:jc w:val="left"/>
            </w:pPr>
            <w:r>
              <w:t xml:space="preserve">$22,951.50</w:t>
            </w:r>
          </w:p>
        </w:tc>
      </w:tr>
      <w:tr>
        <w:tc>
          <w:tcPr>
            <w:gridSpan w:val="4"/>
          </w:tcPr>
          <w:p>
            <w:pPr>
              <w:pStyle w:val="Compact"/>
              <w:jc w:val="left"/>
            </w:pPr>
            <w:r>
              <w:t xml:space="preserve">TOTAL ESTIMATED COST (CAD)</w:t>
            </w:r>
          </w:p>
        </w:tc>
        <w:tc>
          <w:tcPr/>
          <w:p>
            <w:pPr>
              <w:pStyle w:val="Compact"/>
              <w:jc w:val="left"/>
            </w:pPr>
            <w:r>
              <w:t xml:space="preserve">$199,501.50</w:t>
            </w:r>
          </w:p>
        </w:tc>
      </w:tr>
    </w:tbl>
    <w:bookmarkEnd w:id="25"/>
    <w:bookmarkStart w:id="26"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for the</w:t>
      </w:r>
      <w:r>
        <w:t xml:space="preserve"> </w:t>
      </w:r>
      <w:r>
        <w:t xml:space="preserve">Financial Analyst</w:t>
      </w:r>
      <w:r>
        <w:t xml:space="preserve"> </w:t>
      </w:r>
      <w:r>
        <w:t xml:space="preserve">engagement in Canada Toronto shall be settled according to the following milestone-based payment schedule:</w:t>
      </w:r>
    </w:p>
    <w:p>
      <w:pPr>
        <w:numPr>
          <w:ilvl w:val="0"/>
          <w:numId w:val="1002"/>
        </w:numPr>
        <w:pStyle w:val="Compact"/>
      </w:pPr>
      <w:r>
        <w:rPr>
          <w:bCs/>
          <w:b/>
        </w:rPr>
        <w:t xml:space="preserve">25% Advance Payment:</w:t>
      </w:r>
      <w:r>
        <w:t xml:space="preserve"> </w:t>
      </w:r>
      <w:r>
        <w:t xml:space="preserve">Due upon signed acceptance of this Quotation Estimate – $49,875.38 CAD</w:t>
      </w:r>
    </w:p>
    <w:p>
      <w:pPr>
        <w:numPr>
          <w:ilvl w:val="0"/>
          <w:numId w:val="1002"/>
        </w:numPr>
        <w:pStyle w:val="Compact"/>
      </w:pPr>
      <w:r>
        <w:rPr>
          <w:bCs/>
          <w:b/>
        </w:rPr>
        <w:t xml:space="preserve">25% – Month 2:</w:t>
      </w:r>
      <w:r>
        <w:t xml:space="preserve"> </w:t>
      </w:r>
      <w:r>
        <w:t xml:space="preserve">Due upon completion of initial financial models and first quarterly report – $49,875.38 CAD</w:t>
      </w:r>
    </w:p>
    <w:p>
      <w:pPr>
        <w:numPr>
          <w:ilvl w:val="0"/>
          <w:numId w:val="1002"/>
        </w:numPr>
        <w:pStyle w:val="Compact"/>
      </w:pPr>
      <w:r>
        <w:rPr>
          <w:bCs/>
          <w:b/>
        </w:rPr>
        <w:t xml:space="preserve">25% – Month 4:</w:t>
      </w:r>
      <w:r>
        <w:t xml:space="preserve"> </w:t>
      </w:r>
      <w:r>
        <w:t xml:space="preserve">Due upon delivery of mid-term portfolio analysis and compliance filings – $49,875.38 CAD</w:t>
      </w:r>
    </w:p>
    <w:p>
      <w:pPr>
        <w:numPr>
          <w:ilvl w:val="0"/>
          <w:numId w:val="1002"/>
        </w:numPr>
        <w:pStyle w:val="Compact"/>
      </w:pPr>
      <w:r>
        <w:rPr>
          <w:bCs/>
          <w:b/>
        </w:rPr>
        <w:t xml:space="preserve">25% – Month 6:</w:t>
      </w:r>
      <w:r>
        <w:t xml:space="preserve"> </w:t>
      </w:r>
      <w:r>
        <w:t xml:space="preserve">Due upon final delivery of all remaining deliverables and knowledge transfer – $49,875.38 CAD</w:t>
      </w:r>
    </w:p>
    <w:p>
      <w:pPr>
        <w:pStyle w:val="FirstParagraph"/>
      </w:pPr>
      <w:r>
        <w:t xml:space="preserve">All payments are to be made via electronic funds transfer (EFT) to Meridian Analytics Group Inc.'s designated Canadian banking account. Invoices will be issued in accordance with the Canada Revenue Agency (CRA) invoicing requirements.</w:t>
      </w:r>
    </w:p>
    <w:bookmarkEnd w:id="26"/>
    <w:bookmarkStart w:id="27" w:name="terms-conditions"/>
    <w:p>
      <w:pPr>
        <w:pStyle w:val="Heading2"/>
      </w:pPr>
      <w:r>
        <w:t xml:space="preserve">5. Terms &amp; Conditions</w:t>
      </w:r>
    </w:p>
    <w:p>
      <w:pPr>
        <w:numPr>
          <w:ilvl w:val="0"/>
          <w:numId w:val="1003"/>
        </w:numPr>
        <w:pStyle w:val="Compact"/>
      </w:pPr>
      <w:r>
        <w:t xml:space="preserve">This Quotation Estimate is valid for thirty (30) calendar days from the date of issue. Beyond this period, rates and availability of the Financial Analyst may be subject to revision.</w:t>
      </w:r>
    </w:p>
    <w:p>
      <w:pPr>
        <w:numPr>
          <w:ilvl w:val="0"/>
          <w:numId w:val="1003"/>
        </w:numPr>
        <w:pStyle w:val="Compact"/>
      </w:pPr>
      <w:r>
        <w:t xml:space="preserve">All services will be performed in accordance with the professional standards set by the Canadian Institute of Chartered Accountants (CICA) and the Chartered Professional Accountants of Ontario (CPA Ontario).</w:t>
      </w:r>
    </w:p>
    <w:p>
      <w:pPr>
        <w:numPr>
          <w:ilvl w:val="0"/>
          <w:numId w:val="1003"/>
        </w:numPr>
        <w:pStyle w:val="Compact"/>
      </w:pPr>
      <w:r>
        <w:t xml:space="preserve">The Financial Analyst shall adhere to all confidentiality obligations as defined in a separate Non-Disclosure Agreement (NDA) to be executed prior to commencement of work in the Canada Toronto office.</w:t>
      </w:r>
    </w:p>
    <w:p>
      <w:pPr>
        <w:numPr>
          <w:ilvl w:val="0"/>
          <w:numId w:val="1003"/>
        </w:numPr>
        <w:pStyle w:val="Compact"/>
      </w:pPr>
      <w:r>
        <w:t xml:space="preserve">Any changes to the scope of work beyond the parameters described in Section 2 will require a written amendment to this Quotation Estimate, signed by both parties, before additional work commences.</w:t>
      </w:r>
    </w:p>
    <w:p>
      <w:pPr>
        <w:numPr>
          <w:ilvl w:val="0"/>
          <w:numId w:val="1003"/>
        </w:numPr>
        <w:pStyle w:val="Compact"/>
      </w:pPr>
      <w:r>
        <w:t xml:space="preserve">Meridian Analytics Group Inc. reserves the right to substitute the assigned Financial Analyst with a professional of equivalent or superior qualifications, subject to client approval.</w:t>
      </w:r>
    </w:p>
    <w:p>
      <w:pPr>
        <w:numPr>
          <w:ilvl w:val="0"/>
          <w:numId w:val="1003"/>
        </w:numPr>
        <w:pStyle w:val="Compact"/>
      </w:pPr>
      <w:r>
        <w:t xml:space="preserve">This engagement is governed by the laws of the Province of Ontario and the federal laws of Canada applicable therein. Any disputes shall be resolved through arbitration in Toronto, Ontario, in accordance with the Arbitration Act (Ontario).</w:t>
      </w:r>
    </w:p>
    <w:p>
      <w:pPr>
        <w:numPr>
          <w:ilvl w:val="0"/>
          <w:numId w:val="1003"/>
        </w:numPr>
        <w:pStyle w:val="Compact"/>
      </w:pPr>
      <w:r>
        <w:t xml:space="preserve">All intellectual property, models, reports, and analyses produced under this Quotation Estimate shall become the sole property of Northlake Capital Partners Ltd. upon full payment of all outstanding invoices.</w:t>
      </w:r>
    </w:p>
    <w:bookmarkEnd w:id="27"/>
    <w:bookmarkStart w:id="28"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 the</w:t>
      </w:r>
      <w:r>
        <w:t xml:space="preserve"> </w:t>
      </w:r>
      <w:r>
        <w:t xml:space="preserve">Financial Analyst</w:t>
      </w:r>
      <w:r>
        <w:t xml:space="preserve"> </w:t>
      </w:r>
      <w:r>
        <w:t xml:space="preserve">services in Canada Toronto and agrees to the terms, conditions, and cost structure outlined herein. This signature constitutes formal acceptance and authorization to proceed with the engagement.</w:t>
      </w:r>
    </w:p>
    <w:p>
      <w:pPr>
        <w:pStyle w:val="BodyText"/>
      </w:pPr>
      <w:r>
        <w:rPr>
          <w:bCs/>
          <w:b/>
        </w:rPr>
        <w:t xml:space="preserve">For Meridian Analytics Group Inc. (Provider)</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Northlake Capital Partners Ltd.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QE-2025-TOR-0472 | Meridian Analytics Group Inc. | Toronto, Ontario, Canada</w:t>
      </w:r>
    </w:p>
    <w:p>
      <w:pPr>
        <w:pStyle w:val="BodyText"/>
      </w:pPr>
      <w:r>
        <w:t xml:space="preserve">This document is a Quotation Estimate for a Financial Analyst engagement in Canada Toronto and does not constitute a binding contract until countersigned by both parties.</w:t>
      </w:r>
    </w:p>
    <w:p>
      <w:pPr>
        <w:pStyle w:val="BodyText"/>
      </w:pPr>
      <w:r>
        <w:t xml:space="preserve">© 2025 Meridian Analytics Group Inc.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Canada Toronto</dc:title>
  <dc:creator/>
  <dc:language>en</dc:language>
  <cp:keywords/>
  <dcterms:created xsi:type="dcterms:W3CDTF">2026-10-10T02:11:34Z</dcterms:created>
  <dcterms:modified xsi:type="dcterms:W3CDTF">2026-10-10T02:11:34Z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