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Financial</w:t>
      </w:r>
      <w:r>
        <w:t xml:space="preserve"> </w:t>
      </w:r>
      <w:r>
        <w:t xml:space="preserve">Analyst</w:t>
      </w:r>
      <w:r>
        <w:t xml:space="preserve"> </w:t>
      </w:r>
      <w:r>
        <w:t xml:space="preserve">Services</w:t>
      </w:r>
      <w:r>
        <w:t xml:space="preserve"> </w:t>
      </w:r>
      <w:r>
        <w:t xml:space="preserve">-</w:t>
      </w:r>
      <w:r>
        <w:t xml:space="preserve"> </w:t>
      </w:r>
      <w:r>
        <w:t xml:space="preserve">Canada</w:t>
      </w:r>
      <w:r>
        <w:t xml:space="preserve"> </w:t>
      </w:r>
      <w:r>
        <w:t xml:space="preserve">Vancouver</w:t>
      </w:r>
    </w:p>
    <w:bookmarkStart w:id="20" w:name="meridian-analytics-group-inc."/>
    <w:p>
      <w:pPr>
        <w:pStyle w:val="Heading1"/>
      </w:pPr>
      <w:r>
        <w:t xml:space="preserve">Meridian Analytics Group Inc.</w:t>
      </w:r>
    </w:p>
    <w:p>
      <w:pPr>
        <w:pStyle w:val="FirstParagraph"/>
      </w:pPr>
      <w:r>
        <w:t xml:space="preserve">1200 West Georgia Street, Suite 2400</w:t>
      </w:r>
    </w:p>
    <w:p>
      <w:pPr>
        <w:pStyle w:val="BodyText"/>
      </w:pPr>
      <w:r>
        <w:t xml:space="preserve">Vancouver, British Columbia V6E 4R2, Canada</w:t>
      </w:r>
    </w:p>
    <w:p>
      <w:pPr>
        <w:pStyle w:val="BodyText"/>
      </w:pPr>
      <w:r>
        <w:t xml:space="preserve">Phone: (604) 555-0187 | Email: quotes@meridiananalytics.ca</w:t>
      </w:r>
    </w:p>
    <w:p>
      <w:pPr>
        <w:pStyle w:val="BodyText"/>
      </w:pPr>
      <w:r>
        <w:t xml:space="preserve">Business No. BC123456789</w:t>
      </w:r>
    </w:p>
    <w:bookmarkEnd w:id="20"/>
    <w:bookmarkStart w:id="21" w:name="quotation-estimate"/>
    <w:p>
      <w:pPr>
        <w:pStyle w:val="Heading2"/>
      </w:pPr>
      <w:r>
        <w:t xml:space="preserve">QUOTATION ESTIMATE</w:t>
      </w:r>
    </w:p>
    <w:p>
      <w:pPr>
        <w:pStyle w:val="FirstParagraph"/>
      </w:pPr>
      <w:r>
        <w:t xml:space="preserve">Document No: QTE-2025-0487</w:t>
      </w:r>
    </w:p>
    <w:p>
      <w:pPr>
        <w:pStyle w:val="BodyText"/>
      </w:pPr>
      <w:r>
        <w:t xml:space="preserve">Date Issued: June 12, 2025</w:t>
      </w:r>
    </w:p>
    <w:p>
      <w:pPr>
        <w:pStyle w:val="BodyText"/>
      </w:pPr>
      <w:r>
        <w:t xml:space="preserve">Valid Until: July 12, 2025</w:t>
      </w:r>
    </w:p>
    <w:bookmarkEnd w:id="21"/>
    <w:bookmarkStart w:id="22" w:name="quotation-estimate-overview"/>
    <w:p>
      <w:pPr>
        <w:pStyle w:val="Heading3"/>
      </w:pPr>
      <w:r>
        <w:t xml:space="preserve">1. Quotation Estimate Overview</w:t>
      </w:r>
    </w:p>
    <w:p>
      <w:pPr>
        <w:pStyle w:val="FirstParagraph"/>
      </w:pPr>
      <w:r>
        <w:t xml:space="preserve">This</w:t>
      </w:r>
      <w:r>
        <w:t xml:space="preserve"> </w:t>
      </w:r>
      <w:r>
        <w:t xml:space="preserve">Quotation Estimate</w:t>
      </w:r>
      <w:r>
        <w:t xml:space="preserve"> </w:t>
      </w:r>
      <w:r>
        <w:t xml:space="preserve">is formally issued by Meridian Analytics Group Inc. to provide a comprehensive and itemized cost breakdown for the engagement of a qualified</w:t>
      </w:r>
      <w:r>
        <w:t xml:space="preserve"> </w:t>
      </w:r>
      <w:r>
        <w:t xml:space="preserve">Financial Analyst</w:t>
      </w:r>
      <w:r>
        <w:t xml:space="preserve"> </w:t>
      </w:r>
      <w:r>
        <w:t xml:space="preserve">professional to deliver specialized advisory and analytical services to the client organization. This document is prepared specifically for operations conducted within the</w:t>
      </w:r>
      <w:r>
        <w:t xml:space="preserve"> </w:t>
      </w:r>
      <w:r>
        <w:t xml:space="preserve">Canada Vancouver</w:t>
      </w:r>
      <w:r>
        <w:t xml:space="preserve"> </w:t>
      </w:r>
      <w:r>
        <w:t xml:space="preserve">metropolitan area and is governed by the commercial regulations of the Province of British Columbia and the federal laws of Canada. All pricing presented in this</w:t>
      </w:r>
      <w:r>
        <w:t xml:space="preserve"> </w:t>
      </w:r>
      <w:r>
        <w:t xml:space="preserve">Quotation Estimate</w:t>
      </w:r>
      <w:r>
        <w:t xml:space="preserve"> </w:t>
      </w:r>
      <w:r>
        <w:t xml:space="preserve">is denominated in Canadian Dollars (CAD) and reflects current market rates for</w:t>
      </w:r>
      <w:r>
        <w:t xml:space="preserve"> </w:t>
      </w:r>
      <w:r>
        <w:t xml:space="preserve">Financial Analyst</w:t>
      </w:r>
      <w:r>
        <w:t xml:space="preserve"> </w:t>
      </w:r>
      <w:r>
        <w:t xml:space="preserve">services in the</w:t>
      </w:r>
      <w:r>
        <w:t xml:space="preserve"> </w:t>
      </w:r>
      <w:r>
        <w:t xml:space="preserve">Canada Vancouver</w:t>
      </w:r>
      <w:r>
        <w:t xml:space="preserve"> </w:t>
      </w:r>
      <w:r>
        <w:t xml:space="preserve">region as of the date of issuance.</w:t>
      </w:r>
    </w:p>
    <w:bookmarkEnd w:id="22"/>
    <w:bookmarkStart w:id="23" w:name="client-information"/>
    <w:p>
      <w:pPr>
        <w:pStyle w:val="Heading3"/>
      </w:pPr>
      <w:r>
        <w:t xml:space="preserve">2. Client Information</w:t>
      </w:r>
    </w:p>
    <w:p>
      <w:pPr>
        <w:pStyle w:val="FirstParagraph"/>
      </w:pPr>
      <w:r>
        <w:t xml:space="preserve">Client Organization</w:t>
      </w:r>
      <w:r>
        <w:t xml:space="preserve"> </w:t>
      </w:r>
      <w:r>
        <w:t xml:space="preserve">Northwest Pacific Holdings Ltd.</w:t>
      </w:r>
    </w:p>
    <w:p>
      <w:pPr>
        <w:pStyle w:val="BodyText"/>
      </w:pPr>
      <w:r>
        <w:t xml:space="preserve">Client Address</w:t>
      </w:r>
      <w:r>
        <w:t xml:space="preserve"> </w:t>
      </w:r>
      <w:r>
        <w:t xml:space="preserve">888 Burrard Street, Vancouver, BC V6Z 2Y1, Canada</w:t>
      </w:r>
    </w:p>
    <w:p>
      <w:pPr>
        <w:pStyle w:val="BodyText"/>
      </w:pPr>
      <w:r>
        <w:t xml:space="preserve">Primary Contact</w:t>
      </w:r>
      <w:r>
        <w:t xml:space="preserve"> </w:t>
      </w:r>
      <w:r>
        <w:t xml:space="preserve">Ms. Katherine Liu, Chief Financial Officer</w:t>
      </w:r>
    </w:p>
    <w:p>
      <w:pPr>
        <w:pStyle w:val="BodyText"/>
      </w:pPr>
      <w:r>
        <w:t xml:space="preserve">Engagement Reference</w:t>
      </w:r>
      <w:r>
        <w:t xml:space="preserve"> </w:t>
      </w:r>
      <w:r>
        <w:t xml:space="preserve">Project NPH-FA-2025-003</w:t>
      </w:r>
    </w:p>
    <w:bookmarkEnd w:id="23"/>
    <w:bookmarkStart w:id="24" w:name="Xc71ca9f107dc19ad1a35be8656fe3f8577b2b82"/>
    <w:p>
      <w:pPr>
        <w:pStyle w:val="Heading3"/>
      </w:pPr>
      <w:r>
        <w:t xml:space="preserve">3. Scope of Services – Financial Analyst Engagement</w:t>
      </w:r>
    </w:p>
    <w:p>
      <w:pPr>
        <w:pStyle w:val="FirstParagraph"/>
      </w:pPr>
      <w:r>
        <w:t xml:space="preserve">The</w:t>
      </w:r>
      <w:r>
        <w:t xml:space="preserve"> </w:t>
      </w:r>
      <w:r>
        <w:t xml:space="preserve">Financial Analyst</w:t>
      </w:r>
      <w:r>
        <w:t xml:space="preserve"> </w:t>
      </w:r>
      <w:r>
        <w:t xml:space="preserve">engagement outlined in this</w:t>
      </w:r>
      <w:r>
        <w:t xml:space="preserve"> </w:t>
      </w:r>
      <w:r>
        <w:t xml:space="preserve">Quotation Estimate</w:t>
      </w:r>
      <w:r>
        <w:t xml:space="preserve"> </w:t>
      </w:r>
      <w:r>
        <w:t xml:space="preserve">encompasses the following deliverables and professional activities, all to be performed in accordance with Canadian accounting standards (IFRS) and the regulatory framework established by the Canadian Securities Administrators (CSA) applicable to the</w:t>
      </w:r>
      <w:r>
        <w:t xml:space="preserve"> </w:t>
      </w:r>
      <w:r>
        <w:t xml:space="preserve">Canada Vancouver</w:t>
      </w:r>
      <w:r>
        <w:t xml:space="preserve"> </w:t>
      </w:r>
      <w:r>
        <w:t xml:space="preserve">financial district:</w:t>
      </w:r>
    </w:p>
    <w:p>
      <w:pPr>
        <w:numPr>
          <w:ilvl w:val="0"/>
          <w:numId w:val="1001"/>
        </w:numPr>
        <w:pStyle w:val="Compact"/>
      </w:pPr>
      <w:r>
        <w:t xml:space="preserve">Comprehensive financial modeling and forecasting for a twelve-month operational planning cycle.</w:t>
      </w:r>
    </w:p>
    <w:p>
      <w:pPr>
        <w:numPr>
          <w:ilvl w:val="0"/>
          <w:numId w:val="1001"/>
        </w:numPr>
        <w:pStyle w:val="Compact"/>
      </w:pPr>
      <w:r>
        <w:t xml:space="preserve">Quarterly variance analysis and budget-to-actual reporting for all business units.</w:t>
      </w:r>
    </w:p>
    <w:p>
      <w:pPr>
        <w:numPr>
          <w:ilvl w:val="0"/>
          <w:numId w:val="1001"/>
        </w:numPr>
        <w:pStyle w:val="Compact"/>
      </w:pPr>
      <w:r>
        <w:t xml:space="preserve">Capital expenditure (CapEx) evaluation and return-on-investment (ROI) analysis for proposed infrastructure projects in the</w:t>
      </w:r>
      <w:r>
        <w:t xml:space="preserve"> </w:t>
      </w:r>
      <w:r>
        <w:t xml:space="preserve">Canada Vancouver</w:t>
      </w:r>
      <w:r>
        <w:t xml:space="preserve"> </w:t>
      </w:r>
      <w:r>
        <w:t xml:space="preserve">market.</w:t>
      </w:r>
    </w:p>
    <w:p>
      <w:pPr>
        <w:numPr>
          <w:ilvl w:val="0"/>
          <w:numId w:val="1001"/>
        </w:numPr>
        <w:pStyle w:val="Compact"/>
      </w:pPr>
      <w:r>
        <w:t xml:space="preserve">Preparation of board-level financial presentations and executive summaries.</w:t>
      </w:r>
    </w:p>
    <w:p>
      <w:pPr>
        <w:numPr>
          <w:ilvl w:val="0"/>
          <w:numId w:val="1001"/>
        </w:numPr>
        <w:pStyle w:val="Compact"/>
      </w:pPr>
      <w:r>
        <w:t xml:space="preserve">Regulatory compliance review aligned with British Columbia Securities Commission (BCSC) requirements.</w:t>
      </w:r>
    </w:p>
    <w:p>
      <w:pPr>
        <w:numPr>
          <w:ilvl w:val="0"/>
          <w:numId w:val="1001"/>
        </w:numPr>
        <w:pStyle w:val="Compact"/>
      </w:pPr>
      <w:r>
        <w:t xml:space="preserve">Ad-hoc financial research and competitive benchmarking within the Pacific Northwest and broader Canadian markets.</w:t>
      </w:r>
    </w:p>
    <w:bookmarkEnd w:id="24"/>
    <w:bookmarkStart w:id="25" w:name="itemized-cost-breakdown"/>
    <w:p>
      <w:pPr>
        <w:pStyle w:val="Heading3"/>
      </w:pPr>
      <w:r>
        <w:t xml:space="preserve">4.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w:t>
            </w:r>
          </w:p>
        </w:tc>
        <w:tc>
          <w:tcPr/>
          <w:p>
            <w:pPr>
              <w:pStyle w:val="Compact"/>
              <w:jc w:val="left"/>
            </w:pPr>
            <w:r>
              <w:t xml:space="preserve">Duration / Qty</w:t>
            </w:r>
          </w:p>
        </w:tc>
        <w:tc>
          <w:tcPr/>
          <w:p>
            <w:pPr>
              <w:pStyle w:val="Compact"/>
              <w:jc w:val="left"/>
            </w:pPr>
            <w:r>
              <w:t xml:space="preserve">Unit Rate (CAD)</w:t>
            </w:r>
          </w:p>
        </w:tc>
        <w:tc>
          <w:tcPr/>
          <w:p>
            <w:pPr>
              <w:pStyle w:val="Compact"/>
              <w:jc w:val="left"/>
            </w:pPr>
            <w:r>
              <w:t xml:space="preserve">Subtotal (CAD)</w:t>
            </w:r>
          </w:p>
        </w:tc>
      </w:tr>
      <w:tr>
        <w:tc>
          <w:tcPr/>
          <w:p>
            <w:pPr>
              <w:pStyle w:val="Compact"/>
              <w:jc w:val="left"/>
            </w:pPr>
            <w:r>
              <w:t xml:space="preserve">1</w:t>
            </w:r>
          </w:p>
        </w:tc>
        <w:tc>
          <w:tcPr/>
          <w:p>
            <w:pPr>
              <w:pStyle w:val="Compact"/>
              <w:jc w:val="left"/>
            </w:pPr>
            <w:r>
              <w:t xml:space="preserve">Senior Financial Analyst – Full-time engagement (40 hrs/week) including financial modeling, forecasting, and variance analysis</w:t>
            </w:r>
          </w:p>
        </w:tc>
        <w:tc>
          <w:tcPr/>
          <w:p>
            <w:pPr>
              <w:pStyle w:val="Compact"/>
              <w:jc w:val="left"/>
            </w:pPr>
            <w:r>
              <w:t xml:space="preserve">12 months</w:t>
            </w:r>
          </w:p>
        </w:tc>
        <w:tc>
          <w:tcPr/>
          <w:p>
            <w:pPr>
              <w:pStyle w:val="Compact"/>
              <w:jc w:val="left"/>
            </w:pPr>
            <w:r>
              <w:t xml:space="preserve">$118,500 / mo</w:t>
            </w:r>
          </w:p>
        </w:tc>
        <w:tc>
          <w:tcPr/>
          <w:p>
            <w:pPr>
              <w:pStyle w:val="Compact"/>
              <w:jc w:val="left"/>
            </w:pPr>
            <w:r>
              <w:t xml:space="preserve">$1,422,000.00</w:t>
            </w:r>
          </w:p>
        </w:tc>
      </w:tr>
      <w:tr>
        <w:tc>
          <w:tcPr/>
          <w:p>
            <w:pPr>
              <w:pStyle w:val="Compact"/>
              <w:jc w:val="left"/>
            </w:pPr>
            <w:r>
              <w:t xml:space="preserve">2</w:t>
            </w:r>
          </w:p>
        </w:tc>
        <w:tc>
          <w:tcPr/>
          <w:p>
            <w:pPr>
              <w:pStyle w:val="Compact"/>
              <w:jc w:val="left"/>
            </w:pPr>
            <w:r>
              <w:t xml:space="preserve">Financial Analyst – Part-time support (20 hrs/week) for CapEx evaluation and ROI analysis</w:t>
            </w:r>
          </w:p>
        </w:tc>
        <w:tc>
          <w:tcPr/>
          <w:p>
            <w:pPr>
              <w:pStyle w:val="Compact"/>
              <w:jc w:val="left"/>
            </w:pPr>
            <w:r>
              <w:t xml:space="preserve">6 months</w:t>
            </w:r>
          </w:p>
        </w:tc>
        <w:tc>
          <w:tcPr/>
          <w:p>
            <w:pPr>
              <w:pStyle w:val="Compact"/>
              <w:jc w:val="left"/>
            </w:pPr>
            <w:r>
              <w:t xml:space="preserve">$62,000 / mo</w:t>
            </w:r>
          </w:p>
        </w:tc>
        <w:tc>
          <w:tcPr/>
          <w:p>
            <w:pPr>
              <w:pStyle w:val="Compact"/>
              <w:jc w:val="left"/>
            </w:pPr>
            <w:r>
              <w:t xml:space="preserve">$372,000.00</w:t>
            </w:r>
          </w:p>
        </w:tc>
      </w:tr>
      <w:tr>
        <w:tc>
          <w:tcPr/>
          <w:p>
            <w:pPr>
              <w:pStyle w:val="Compact"/>
              <w:jc w:val="left"/>
            </w:pPr>
            <w:r>
              <w:t xml:space="preserve">3</w:t>
            </w:r>
          </w:p>
        </w:tc>
        <w:tc>
          <w:tcPr/>
          <w:p>
            <w:pPr>
              <w:pStyle w:val="Compact"/>
              <w:jc w:val="left"/>
            </w:pPr>
            <w:r>
              <w:t xml:space="preserve">Board-level presentation preparation and executive reporting (4 sessions per quarter)</w:t>
            </w:r>
          </w:p>
        </w:tc>
        <w:tc>
          <w:tcPr/>
          <w:p>
            <w:pPr>
              <w:pStyle w:val="Compact"/>
              <w:jc w:val="left"/>
            </w:pPr>
            <w:r>
              <w:t xml:space="preserve">4 quarters</w:t>
            </w:r>
          </w:p>
        </w:tc>
        <w:tc>
          <w:tcPr/>
          <w:p>
            <w:pPr>
              <w:pStyle w:val="Compact"/>
              <w:jc w:val="left"/>
            </w:pPr>
            <w:r>
              <w:t xml:space="preserve">$8,500 / session</w:t>
            </w:r>
          </w:p>
        </w:tc>
        <w:tc>
          <w:tcPr/>
          <w:p>
            <w:pPr>
              <w:pStyle w:val="Compact"/>
              <w:jc w:val="left"/>
            </w:pPr>
            <w:r>
              <w:t xml:space="preserve">$136,000.00</w:t>
            </w:r>
          </w:p>
        </w:tc>
      </w:tr>
      <w:tr>
        <w:tc>
          <w:tcPr/>
          <w:p>
            <w:pPr>
              <w:pStyle w:val="Compact"/>
              <w:jc w:val="left"/>
            </w:pPr>
            <w:r>
              <w:t xml:space="preserve">4</w:t>
            </w:r>
          </w:p>
        </w:tc>
        <w:tc>
          <w:tcPr/>
          <w:p>
            <w:pPr>
              <w:pStyle w:val="Compact"/>
              <w:jc w:val="left"/>
            </w:pPr>
            <w:r>
              <w:t xml:space="preserve">Regulatory compliance review and BCSC alignment audit for the Canada Vancouver operating entity</w:t>
            </w:r>
          </w:p>
        </w:tc>
        <w:tc>
          <w:tcPr/>
          <w:p>
            <w:pPr>
              <w:pStyle w:val="Compact"/>
              <w:jc w:val="left"/>
            </w:pPr>
            <w:r>
              <w:t xml:space="preserve">1 engagement</w:t>
            </w:r>
          </w:p>
        </w:tc>
        <w:tc>
          <w:tcPr/>
          <w:p>
            <w:pPr>
              <w:pStyle w:val="Compact"/>
              <w:jc w:val="left"/>
            </w:pPr>
            <w:r>
              <w:t xml:space="preserve">$24,000 / flat</w:t>
            </w:r>
          </w:p>
        </w:tc>
        <w:tc>
          <w:tcPr/>
          <w:p>
            <w:pPr>
              <w:pStyle w:val="Compact"/>
              <w:jc w:val="left"/>
            </w:pPr>
            <w:r>
              <w:t xml:space="preserve">$24,000.00</w:t>
            </w:r>
          </w:p>
        </w:tc>
      </w:tr>
      <w:tr>
        <w:tc>
          <w:tcPr/>
          <w:p>
            <w:pPr>
              <w:pStyle w:val="Compact"/>
              <w:jc w:val="left"/>
            </w:pPr>
            <w:r>
              <w:t xml:space="preserve">5</w:t>
            </w:r>
          </w:p>
        </w:tc>
        <w:tc>
          <w:tcPr/>
          <w:p>
            <w:pPr>
              <w:pStyle w:val="Compact"/>
              <w:jc w:val="left"/>
            </w:pPr>
            <w:r>
              <w:t xml:space="preserve">Specialized financial research and competitive benchmarking (Pacific Northwest / Canadian markets)</w:t>
            </w:r>
          </w:p>
        </w:tc>
        <w:tc>
          <w:tcPr/>
          <w:p>
            <w:pPr>
              <w:pStyle w:val="Compact"/>
              <w:jc w:val="left"/>
            </w:pPr>
            <w:r>
              <w:t xml:space="preserve">8 reports</w:t>
            </w:r>
          </w:p>
        </w:tc>
        <w:tc>
          <w:tcPr/>
          <w:p>
            <w:pPr>
              <w:pStyle w:val="Compact"/>
              <w:jc w:val="left"/>
            </w:pPr>
            <w:r>
              <w:t xml:space="preserve">$3,200 / report</w:t>
            </w:r>
          </w:p>
        </w:tc>
        <w:tc>
          <w:tcPr/>
          <w:p>
            <w:pPr>
              <w:pStyle w:val="Compact"/>
              <w:jc w:val="left"/>
            </w:pPr>
            <w:r>
              <w:t xml:space="preserve">$25,600.00</w:t>
            </w:r>
          </w:p>
        </w:tc>
      </w:tr>
      <w:tr>
        <w:tc>
          <w:tcPr/>
          <w:p>
            <w:pPr>
              <w:pStyle w:val="Compact"/>
              <w:jc w:val="left"/>
            </w:pPr>
            <w:r>
              <w:t xml:space="preserve">6</w:t>
            </w:r>
          </w:p>
        </w:tc>
        <w:tc>
          <w:tcPr/>
          <w:p>
            <w:pPr>
              <w:pStyle w:val="Compact"/>
              <w:jc w:val="left"/>
            </w:pPr>
            <w:r>
              <w:t xml:space="preserve">Software licensing and data platform access (Bloomberg Terminal, FactSet, Tableau)</w:t>
            </w:r>
          </w:p>
        </w:tc>
        <w:tc>
          <w:tcPr/>
          <w:p>
            <w:pPr>
              <w:pStyle w:val="Compact"/>
              <w:jc w:val="left"/>
            </w:pPr>
            <w:r>
              <w:t xml:space="preserve">12 months</w:t>
            </w:r>
          </w:p>
        </w:tc>
        <w:tc>
          <w:tcPr/>
          <w:p>
            <w:pPr>
              <w:pStyle w:val="Compact"/>
              <w:jc w:val="left"/>
            </w:pPr>
            <w:r>
              <w:t xml:space="preserve">$4,800 / mo</w:t>
            </w:r>
          </w:p>
        </w:tc>
        <w:tc>
          <w:tcPr/>
          <w:p>
            <w:pPr>
              <w:pStyle w:val="Compact"/>
              <w:jc w:val="left"/>
            </w:pPr>
            <w:r>
              <w:t xml:space="preserve">$57,600.00</w:t>
            </w:r>
          </w:p>
        </w:tc>
      </w:tr>
      <w:tr>
        <w:tc>
          <w:tcPr/>
          <w:p>
            <w:pPr>
              <w:pStyle w:val="Compact"/>
              <w:jc w:val="left"/>
            </w:pPr>
            <w:r>
              <w:t xml:space="preserve">7</w:t>
            </w:r>
          </w:p>
        </w:tc>
        <w:tc>
          <w:tcPr/>
          <w:p>
            <w:pPr>
              <w:pStyle w:val="Compact"/>
              <w:jc w:val="left"/>
            </w:pPr>
            <w:r>
              <w:t xml:space="preserve">Project management and quality assurance oversight</w:t>
            </w:r>
          </w:p>
        </w:tc>
        <w:tc>
          <w:tcPr/>
          <w:p>
            <w:pPr>
              <w:pStyle w:val="Compact"/>
              <w:jc w:val="left"/>
            </w:pPr>
            <w:r>
              <w:t xml:space="preserve">12 months</w:t>
            </w:r>
          </w:p>
        </w:tc>
        <w:tc>
          <w:tcPr/>
          <w:p>
            <w:pPr>
              <w:pStyle w:val="Compact"/>
              <w:jc w:val="left"/>
            </w:pPr>
            <w:r>
              <w:t xml:space="preserve">$5,200 / mo</w:t>
            </w:r>
          </w:p>
        </w:tc>
        <w:tc>
          <w:tcPr/>
          <w:p>
            <w:pPr>
              <w:pStyle w:val="Compact"/>
              <w:jc w:val="left"/>
            </w:pPr>
            <w:r>
              <w:t xml:space="preserve">$62,400.00</w:t>
            </w:r>
          </w:p>
        </w:tc>
      </w:tr>
      <w:tr>
        <w:tc>
          <w:tcPr>
            <w:gridSpan w:val="4"/>
          </w:tcPr>
          <w:p>
            <w:pPr>
              <w:pStyle w:val="Compact"/>
              <w:jc w:val="left"/>
            </w:pPr>
            <w:r>
              <w:t xml:space="preserve">Subtotal (before tax)</w:t>
            </w:r>
          </w:p>
        </w:tc>
        <w:tc>
          <w:tcPr/>
          <w:p>
            <w:pPr>
              <w:pStyle w:val="Compact"/>
              <w:jc w:val="left"/>
            </w:pPr>
            <w:r>
              <w:t xml:space="preserve">$2,100,000.00</w:t>
            </w:r>
          </w:p>
        </w:tc>
      </w:tr>
      <w:tr>
        <w:tc>
          <w:tcPr>
            <w:gridSpan w:val="4"/>
          </w:tcPr>
          <w:p>
            <w:pPr>
              <w:pStyle w:val="Compact"/>
              <w:jc w:val="left"/>
            </w:pPr>
            <w:r>
              <w:t xml:space="preserve">GST (5% – Federal, Canada)</w:t>
            </w:r>
          </w:p>
        </w:tc>
        <w:tc>
          <w:tcPr/>
          <w:p>
            <w:pPr>
              <w:pStyle w:val="Compact"/>
              <w:jc w:val="left"/>
            </w:pPr>
            <w:r>
              <w:t xml:space="preserve">$105,000.00</w:t>
            </w:r>
          </w:p>
        </w:tc>
      </w:tr>
      <w:tr>
        <w:tc>
          <w:tcPr>
            <w:gridSpan w:val="4"/>
          </w:tcPr>
          <w:p>
            <w:pPr>
              <w:pStyle w:val="Compact"/>
              <w:jc w:val="left"/>
            </w:pPr>
            <w:r>
              <w:t xml:space="preserve">PST (7% – Province of British Columbia)</w:t>
            </w:r>
          </w:p>
        </w:tc>
        <w:tc>
          <w:tcPr/>
          <w:p>
            <w:pPr>
              <w:pStyle w:val="Compact"/>
              <w:jc w:val="left"/>
            </w:pPr>
            <w:r>
              <w:t xml:space="preserve">$147,000.00</w:t>
            </w:r>
          </w:p>
        </w:tc>
      </w:tr>
      <w:tr>
        <w:tc>
          <w:tcPr>
            <w:gridSpan w:val="4"/>
          </w:tcPr>
          <w:p>
            <w:pPr>
              <w:pStyle w:val="Compact"/>
              <w:jc w:val="left"/>
            </w:pPr>
            <w:r>
              <w:t xml:space="preserve">TOTAL ESTIMATED COST (CAD)</w:t>
            </w:r>
          </w:p>
        </w:tc>
        <w:tc>
          <w:tcPr/>
          <w:p>
            <w:pPr>
              <w:pStyle w:val="Compact"/>
              <w:jc w:val="left"/>
            </w:pPr>
            <w:r>
              <w:t xml:space="preserve">$2,352,000.00</w:t>
            </w:r>
          </w:p>
        </w:tc>
      </w:tr>
    </w:tbl>
    <w:bookmarkEnd w:id="25"/>
    <w:bookmarkStart w:id="26" w:name="payment-terms-and-schedule"/>
    <w:p>
      <w:pPr>
        <w:pStyle w:val="Heading3"/>
      </w:pPr>
      <w:r>
        <w:t xml:space="preserve">5. Payment Terms and Schedule</w:t>
      </w:r>
    </w:p>
    <w:p>
      <w:pPr>
        <w:pStyle w:val="FirstParagraph"/>
      </w:pPr>
      <w:r>
        <w:t xml:space="preserve">Payment for the services described in this</w:t>
      </w:r>
      <w:r>
        <w:t xml:space="preserve"> </w:t>
      </w:r>
      <w:r>
        <w:t xml:space="preserve">Quotation Estimate</w:t>
      </w:r>
      <w:r>
        <w:t xml:space="preserve"> </w:t>
      </w:r>
      <w:r>
        <w:t xml:space="preserve">shall be made in monthly installments, invoiced on the first business day of each calendar month. The initial invoice shall cover the first month of the</w:t>
      </w:r>
      <w:r>
        <w:t xml:space="preserve"> </w:t>
      </w:r>
      <w:r>
        <w:t xml:space="preserve">Financial Analyst</w:t>
      </w:r>
      <w:r>
        <w:t xml:space="preserve"> </w:t>
      </w:r>
      <w:r>
        <w:t xml:space="preserve">engagement. All payments are due within thirty (30) calendar days of the invoice date. Late payments shall accrue interest at a rate of 1.5% per month, in accordance with the British Columbia Interest Act. Payment shall be made via electronic funds transfer (EFT) to the bank account designated by Meridian Analytics Group Inc., located in</w:t>
      </w:r>
      <w:r>
        <w:t xml:space="preserve"> </w:t>
      </w:r>
      <w:r>
        <w:t xml:space="preserve">Canada Vancouver</w:t>
      </w:r>
      <w:r>
        <w:t xml:space="preserve">.</w:t>
      </w:r>
    </w:p>
    <w:bookmarkEnd w:id="26"/>
    <w:bookmarkStart w:id="27" w:name="terms-and-conditions"/>
    <w:p>
      <w:pPr>
        <w:pStyle w:val="Heading3"/>
      </w:pPr>
      <w:r>
        <w:t xml:space="preserve">6. Terms and Conditions</w:t>
      </w:r>
    </w:p>
    <w:p>
      <w:pPr>
        <w:numPr>
          <w:ilvl w:val="0"/>
          <w:numId w:val="1002"/>
        </w:numPr>
        <w:pStyle w:val="Compact"/>
      </w:pPr>
      <w:r>
        <w:t xml:space="preserve">This</w:t>
      </w:r>
      <w:r>
        <w:t xml:space="preserve"> </w:t>
      </w:r>
      <w:r>
        <w:t xml:space="preserve">Quotation Estimate</w:t>
      </w:r>
      <w:r>
        <w:t xml:space="preserve"> </w:t>
      </w:r>
      <w:r>
        <w:t xml:space="preserve">is valid for thirty (30) days from the date of issuance. After the expiration date, all rates and terms are subject to revision based on prevailing market conditions in the</w:t>
      </w:r>
      <w:r>
        <w:t xml:space="preserve"> </w:t>
      </w:r>
      <w:r>
        <w:t xml:space="preserve">Canada Vancouver</w:t>
      </w:r>
      <w:r>
        <w:t xml:space="preserve"> </w:t>
      </w:r>
      <w:r>
        <w:t xml:space="preserve">professional services sector.</w:t>
      </w:r>
    </w:p>
    <w:p>
      <w:pPr>
        <w:numPr>
          <w:ilvl w:val="0"/>
          <w:numId w:val="1002"/>
        </w:numPr>
        <w:pStyle w:val="Compact"/>
      </w:pPr>
      <w:r>
        <w:t xml:space="preserve">The</w:t>
      </w:r>
      <w:r>
        <w:t xml:space="preserve"> </w:t>
      </w:r>
      <w:r>
        <w:t xml:space="preserve">Financial Analyst</w:t>
      </w:r>
      <w:r>
        <w:t xml:space="preserve"> </w:t>
      </w:r>
      <w:r>
        <w:t xml:space="preserve">assigned to this engagement shall maintain all professional certifications (CFA, CPA, or equivalent) in good standing throughout the duration of the contract.</w:t>
      </w:r>
    </w:p>
    <w:p>
      <w:pPr>
        <w:numPr>
          <w:ilvl w:val="0"/>
          <w:numId w:val="1002"/>
        </w:numPr>
        <w:pStyle w:val="Compact"/>
      </w:pPr>
      <w:r>
        <w:t xml:space="preserve">All work product, including financial models, reports, and analyses, shall remain the exclusive intellectual property of the client upon full payment of all invoices.</w:t>
      </w:r>
    </w:p>
    <w:p>
      <w:pPr>
        <w:numPr>
          <w:ilvl w:val="0"/>
          <w:numId w:val="1002"/>
        </w:numPr>
        <w:pStyle w:val="Compact"/>
      </w:pPr>
      <w:r>
        <w:t xml:space="preserve">Confidentiality obligations shall survive the termination of this engagement for a period of five (5) years, in compliance with the Personal Information Protection Act (PIPA) of British Columbia.</w:t>
      </w:r>
    </w:p>
    <w:p>
      <w:pPr>
        <w:numPr>
          <w:ilvl w:val="0"/>
          <w:numId w:val="1002"/>
        </w:numPr>
        <w:pStyle w:val="Compact"/>
      </w:pPr>
      <w:r>
        <w:t xml:space="preserve">Either party may terminate this agreement with thirty (30) days written notice. In the event of early termination, the client shall be liable for all services rendered up to the termination date plus a transition fee of 10% of the remaining contract value.</w:t>
      </w:r>
    </w:p>
    <w:p>
      <w:pPr>
        <w:numPr>
          <w:ilvl w:val="0"/>
          <w:numId w:val="1002"/>
        </w:numPr>
        <w:pStyle w:val="Compact"/>
      </w:pPr>
      <w:r>
        <w:t xml:space="preserve">This</w:t>
      </w:r>
      <w:r>
        <w:t xml:space="preserve"> </w:t>
      </w:r>
      <w:r>
        <w:t xml:space="preserve">Quotation Estimate</w:t>
      </w:r>
      <w:r>
        <w:t xml:space="preserve"> </w:t>
      </w:r>
      <w:r>
        <w:t xml:space="preserve">does not constitute a binding contract until countersigned by both parties. The final service agreement shall be executed separately and shall incorporate all terms herein.</w:t>
      </w:r>
    </w:p>
    <w:p>
      <w:pPr>
        <w:numPr>
          <w:ilvl w:val="0"/>
          <w:numId w:val="1002"/>
        </w:numPr>
        <w:pStyle w:val="Compact"/>
      </w:pPr>
      <w:r>
        <w:t xml:space="preserve">All disputes arising from this engagement shall be resolved through mediation in</w:t>
      </w:r>
      <w:r>
        <w:t xml:space="preserve"> </w:t>
      </w:r>
      <w:r>
        <w:t xml:space="preserve">Canada Vancouver</w:t>
      </w:r>
      <w:r>
        <w:t xml:space="preserve">, and if unresolved, through arbitration under the rules of the British Columbia International Commercial Arbitration Centre (BCICAC).</w:t>
      </w:r>
    </w:p>
    <w:p>
      <w:pPr>
        <w:numPr>
          <w:ilvl w:val="0"/>
          <w:numId w:val="1002"/>
        </w:numPr>
        <w:pStyle w:val="Compact"/>
      </w:pPr>
      <w:r>
        <w:t xml:space="preserve">This document and any resulting agreement shall be governed by the laws of the Province of British Columbia and the federal laws of Canada applicable therein.</w:t>
      </w:r>
    </w:p>
    <w:bookmarkEnd w:id="27"/>
    <w:bookmarkStart w:id="28" w:name="acceptance-and-authorization"/>
    <w:p>
      <w:pPr>
        <w:pStyle w:val="Heading3"/>
      </w:pPr>
      <w:r>
        <w:t xml:space="preserve">7. Acceptance and Authorization</w:t>
      </w:r>
    </w:p>
    <w:p>
      <w:pPr>
        <w:pStyle w:val="FirstParagraph"/>
      </w:pPr>
      <w:r>
        <w:t xml:space="preserve">By signing below, both parties acknowledge that they have read, understood, and agree to the terms set forth in this</w:t>
      </w:r>
      <w:r>
        <w:t xml:space="preserve"> </w:t>
      </w:r>
      <w:r>
        <w:t xml:space="preserve">Quotation Estimate</w:t>
      </w:r>
      <w:r>
        <w:t xml:space="preserve"> </w:t>
      </w:r>
      <w:r>
        <w:t xml:space="preserve">for the</w:t>
      </w:r>
      <w:r>
        <w:t xml:space="preserve"> </w:t>
      </w:r>
      <w:r>
        <w:t xml:space="preserve">Financial Analyst</w:t>
      </w:r>
      <w:r>
        <w:t xml:space="preserve"> </w:t>
      </w:r>
      <w:r>
        <w:t xml:space="preserve">services to be delivered in</w:t>
      </w:r>
      <w:r>
        <w:t xml:space="preserve"> </w:t>
      </w:r>
      <w:r>
        <w:t xml:space="preserve">Canada Vancouver</w:t>
      </w:r>
      <w:r>
        <w:t xml:space="preserve">.</w:t>
      </w:r>
    </w:p>
    <w:p>
      <w:pPr>
        <w:pStyle w:val="BodyText"/>
      </w:pPr>
      <w:r>
        <w:rPr>
          <w:bCs/>
          <w:b/>
        </w:rPr>
        <w:t xml:space="preserve">For Meridian Analytics Group Inc. (Provider)</w:t>
      </w:r>
    </w:p>
    <w:p>
      <w:pPr>
        <w:pStyle w:val="BodyText"/>
      </w:pPr>
      <w:r>
        <w:t xml:space="preserve">Signature: ___________________________</w:t>
      </w:r>
    </w:p>
    <w:p>
      <w:pPr>
        <w:pStyle w:val="BodyText"/>
      </w:pPr>
      <w:r>
        <w:t xml:space="preserve">Name: David Chen, Managing Director</w:t>
      </w:r>
    </w:p>
    <w:p>
      <w:pPr>
        <w:pStyle w:val="BodyText"/>
      </w:pPr>
      <w:r>
        <w:t xml:space="preserve">Date: ___________________________</w:t>
      </w:r>
    </w:p>
    <w:p>
      <w:pPr>
        <w:pStyle w:val="BodyText"/>
      </w:pPr>
      <w:r>
        <w:rPr>
          <w:bCs/>
          <w:b/>
        </w:rPr>
        <w:t xml:space="preserve">For Northwest Pacific Holdings Ltd. (Client)</w:t>
      </w:r>
    </w:p>
    <w:p>
      <w:pPr>
        <w:pStyle w:val="BodyText"/>
      </w:pPr>
      <w:r>
        <w:t xml:space="preserve">Signature: ___________________________</w:t>
      </w:r>
    </w:p>
    <w:p>
      <w:pPr>
        <w:pStyle w:val="BodyText"/>
      </w:pPr>
      <w:r>
        <w:t xml:space="preserve">Name: Katherine Liu, CFO</w:t>
      </w:r>
    </w:p>
    <w:p>
      <w:pPr>
        <w:pStyle w:val="BodyText"/>
      </w:pPr>
      <w:r>
        <w:t xml:space="preserve">Date: ___________________________</w:t>
      </w:r>
    </w:p>
    <w:bookmarkEnd w:id="28"/>
    <w:p>
      <w:pPr>
        <w:pStyle w:val="BodyText"/>
      </w:pPr>
      <w:r>
        <w:t xml:space="preserve">Meridian Analytics Group Inc. | 1200 West Georgia Street, Suite 2400, Vancouver, BC V6E 4R2, Canada</w:t>
      </w:r>
    </w:p>
    <w:p>
      <w:pPr>
        <w:pStyle w:val="BodyText"/>
      </w:pPr>
      <w:r>
        <w:t xml:space="preserve">This Quotation Estimate (QTE-2025-0487) is the property of Meridian Analytics Group Inc. and is intended solely for the named client. Unauthorized reproduction or distribution is prohibited.</w:t>
      </w:r>
    </w:p>
    <w:p>
      <w:pPr>
        <w:pStyle w:val="BodyText"/>
      </w:pPr>
      <w:r>
        <w:t xml:space="preserve">Page 1 of 1 | Generated: June 12,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Financial Analyst Services - Canada Vancouver</dc:title>
  <dc:creator/>
  <dc:language>en</dc:language>
  <cp:keywords/>
  <dcterms:created xsi:type="dcterms:W3CDTF">2026-10-10T01:54:11Z</dcterms:created>
  <dcterms:modified xsi:type="dcterms:W3CDTF">2026-10-10T01:54:11Z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