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quotation-estimate"/>
    <w:p>
      <w:pPr>
        <w:pStyle w:val="Heading1"/>
      </w:pPr>
      <w:r>
        <w:t xml:space="preserve">Quotation Estimate</w:t>
      </w:r>
    </w:p>
    <w:p>
      <w:pPr>
        <w:pStyle w:val="FirstParagraph"/>
      </w:pPr>
      <w:r>
        <w:t xml:space="preserve">Professional Financial Analyst Services</w:t>
      </w:r>
    </w:p>
    <w:p>
      <w:pPr>
        <w:pStyle w:val="BodyText"/>
      </w:pPr>
      <w:r>
        <w:t xml:space="preserve">Chile Santiago — Metropolitan Region</w:t>
      </w:r>
    </w:p>
    <w:p>
      <w:pPr>
        <w:pStyle w:val="BodyText"/>
      </w:pPr>
      <w:r>
        <w:t xml:space="preserve">Document Ref: QE-FA-2025-0847</w:t>
      </w:r>
    </w:p>
    <w:bookmarkEnd w:id="20"/>
    <w:p>
      <w:pPr>
        <w:pStyle w:val="BodyText"/>
      </w:pPr>
      <w:r>
        <w:t xml:space="preserve">Date of Issue:</w:t>
      </w:r>
      <w:r>
        <w:t xml:space="preserve"> </w:t>
      </w:r>
      <w:r>
        <w:t xml:space="preserve">15 June 2025</w:t>
      </w:r>
    </w:p>
    <w:p>
      <w:pPr>
        <w:pStyle w:val="BodyText"/>
      </w:pPr>
      <w:r>
        <w:t xml:space="preserve">Valid Until:</w:t>
      </w:r>
      <w:r>
        <w:t xml:space="preserve"> </w:t>
      </w:r>
      <w:r>
        <w:t xml:space="preserve">15 July 2025</w:t>
      </w:r>
    </w:p>
    <w:p>
      <w:pPr>
        <w:pStyle w:val="BodyText"/>
      </w:pPr>
      <w:r>
        <w:t xml:space="preserve">Prepared For:</w:t>
      </w:r>
      <w:r>
        <w:t xml:space="preserve"> </w:t>
      </w:r>
      <w:r>
        <w:t xml:space="preserve">[Client Company Name]</w:t>
      </w:r>
    </w:p>
    <w:p>
      <w:pPr>
        <w:pStyle w:val="BodyText"/>
      </w:pPr>
      <w:r>
        <w:t xml:space="preserve">Prepared By:</w:t>
      </w:r>
      <w:r>
        <w:t xml:space="preserve"> </w:t>
      </w:r>
      <w:r>
        <w:t xml:space="preserve">Andes Capital Advisory S.A.</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has been prepared by Andes Capital Advisory S.A., a specialized consulting firm headquartered in</w:t>
      </w:r>
      <w:r>
        <w:t xml:space="preserve"> </w:t>
      </w:r>
      <w:r>
        <w:t xml:space="preserve">Chile Santiago</w:t>
      </w:r>
      <w:r>
        <w:t xml:space="preserve">, to formally present the scope, deliverables, and associated costs for the engagement of a qualified</w:t>
      </w:r>
      <w:r>
        <w:t xml:space="preserve"> </w:t>
      </w:r>
      <w:r>
        <w:t xml:space="preserve">Financial Analyst</w:t>
      </w:r>
      <w:r>
        <w:t xml:space="preserve"> </w:t>
      </w:r>
      <w:r>
        <w:t xml:space="preserve">professional. This Quotation Estimate is issued in accordance with the commercial practices of the Chilean market and complies with the regulatory framework established by the Superintendencia de Valores y Seguros (SVS) and the Chilean Civil Code regarding professional service contracts.</w:t>
      </w:r>
    </w:p>
    <w:p>
      <w:pPr>
        <w:pStyle w:val="BodyText"/>
      </w:pPr>
      <w:r>
        <w:t xml:space="preserve">The purpose of this Quotation Estimate is to provide the prospective client with a transparent, itemized breakdown of all fees, expenses, and conditions related to the provision of Financial Analyst services in the</w:t>
      </w:r>
      <w:r>
        <w:t xml:space="preserve"> </w:t>
      </w:r>
      <w:r>
        <w:t xml:space="preserve">Chile Santiago</w:t>
      </w:r>
      <w:r>
        <w:t xml:space="preserve"> </w:t>
      </w:r>
      <w:r>
        <w:t xml:space="preserve">metropolitan area. All monetary values referenced in this document are expressed in Chilean Pesos (CLP) unless otherwise stated, and are subject to the applicable Value Added Tax (IVA) of 19% as mandated by the Servicio de Impuestos Internos (SII) of Chile.</w:t>
      </w:r>
    </w:p>
    <w:bookmarkEnd w:id="21"/>
    <w:bookmarkStart w:id="22" w:name="Xc71ca9f107dc19ad1a35be8656fe3f8577b2b82"/>
    <w:p>
      <w:pPr>
        <w:pStyle w:val="Heading2"/>
      </w:pPr>
      <w:r>
        <w:t xml:space="preserve">2. Scope of Services — Financial Analyst Engagement</w:t>
      </w:r>
    </w:p>
    <w:p>
      <w:pPr>
        <w:pStyle w:val="FirstParagraph"/>
      </w:pPr>
      <w:r>
        <w:t xml:space="preserve">The</w:t>
      </w:r>
      <w:r>
        <w:t xml:space="preserve"> </w:t>
      </w:r>
      <w:r>
        <w:t xml:space="preserve">Financial Analyst</w:t>
      </w:r>
      <w:r>
        <w:t xml:space="preserve"> </w:t>
      </w:r>
      <w:r>
        <w:t xml:space="preserve">engaged under this Quotation Estimate will operate within the</w:t>
      </w:r>
      <w:r>
        <w:t xml:space="preserve"> </w:t>
      </w:r>
      <w:r>
        <w:t xml:space="preserve">Chile Santiago</w:t>
      </w:r>
      <w:r>
        <w:t xml:space="preserve"> </w:t>
      </w:r>
      <w:r>
        <w:t xml:space="preserve">business district, specifically providing the following professional services to the client organization: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Component</w:t>
            </w:r>
          </w:p>
        </w:tc>
        <w:tc>
          <w:tcPr/>
          <w:p>
            <w:pPr>
              <w:pStyle w:val="Compact"/>
              <w:jc w:val="left"/>
            </w:pPr>
            <w:r>
              <w:t xml:space="preserve">Description</w:t>
            </w:r>
          </w:p>
        </w:tc>
        <w:tc>
          <w:tcPr/>
          <w:p>
            <w:pPr>
              <w:pStyle w:val="Compact"/>
              <w:jc w:val="left"/>
            </w:pPr>
            <w:r>
              <w:t xml:space="preserve">Duration</w:t>
            </w:r>
          </w:p>
        </w:tc>
      </w:tr>
      <w:tr>
        <w:tc>
          <w:tcPr/>
          <w:p>
            <w:pPr>
              <w:pStyle w:val="Compact"/>
              <w:jc w:val="left"/>
            </w:pPr>
            <w:r>
              <w:t xml:space="preserve">Financial Modeling &amp; Forecasting</w:t>
            </w:r>
          </w:p>
        </w:tc>
        <w:tc>
          <w:tcPr/>
          <w:p>
            <w:pPr>
              <w:pStyle w:val="Compact"/>
              <w:jc w:val="left"/>
            </w:pPr>
            <w:r>
              <w:t xml:space="preserve">Development and maintenance of multi-year financial models, revenue projections, and cash flow analyses tailored to the client's operational context in Chile Santiago.</w:t>
            </w:r>
          </w:p>
        </w:tc>
        <w:tc>
          <w:tcPr/>
          <w:p>
            <w:pPr>
              <w:pStyle w:val="Compact"/>
              <w:jc w:val="left"/>
            </w:pPr>
            <w:r>
              <w:t xml:space="preserve">6 months</w:t>
            </w:r>
          </w:p>
        </w:tc>
      </w:tr>
      <w:tr>
        <w:tc>
          <w:tcPr/>
          <w:p>
            <w:pPr>
              <w:pStyle w:val="Compact"/>
              <w:jc w:val="left"/>
            </w:pPr>
            <w:r>
              <w:t xml:space="preserve">Investment Analysis &amp; Due Diligence</w:t>
            </w:r>
          </w:p>
        </w:tc>
        <w:tc>
          <w:tcPr/>
          <w:p>
            <w:pPr>
              <w:pStyle w:val="Compact"/>
              <w:jc w:val="left"/>
            </w:pPr>
            <w:r>
              <w:t xml:space="preserve">Comprehensive evaluation of potential investment opportunities, portfolio performance tracking, and risk assessment in compliance with Chilean securities regulations.</w:t>
            </w:r>
          </w:p>
        </w:tc>
        <w:tc>
          <w:tcPr/>
          <w:p>
            <w:pPr>
              <w:pStyle w:val="Compact"/>
              <w:jc w:val="left"/>
            </w:pPr>
            <w:r>
              <w:t xml:space="preserve">6 months</w:t>
            </w:r>
          </w:p>
        </w:tc>
      </w:tr>
      <w:tr>
        <w:tc>
          <w:tcPr/>
          <w:p>
            <w:pPr>
              <w:pStyle w:val="Compact"/>
              <w:jc w:val="left"/>
            </w:pPr>
            <w:r>
              <w:t xml:space="preserve">Monthly Financial Reporting</w:t>
            </w:r>
          </w:p>
        </w:tc>
        <w:tc>
          <w:tcPr/>
          <w:p>
            <w:pPr>
              <w:pStyle w:val="Compact"/>
              <w:jc w:val="left"/>
            </w:pPr>
            <w:r>
              <w:t xml:space="preserve">Preparation of detailed monthly and quarterly financial reports, variance analyses, and executive summaries for the client's board of directors.</w:t>
            </w:r>
          </w:p>
        </w:tc>
        <w:tc>
          <w:tcPr/>
          <w:p>
            <w:pPr>
              <w:pStyle w:val="Compact"/>
              <w:jc w:val="left"/>
            </w:pPr>
            <w:r>
              <w:t xml:space="preserve">Ongoing</w:t>
            </w:r>
          </w:p>
        </w:tc>
      </w:tr>
      <w:tr>
        <w:tc>
          <w:tcPr/>
          <w:p>
            <w:pPr>
              <w:pStyle w:val="Compact"/>
              <w:jc w:val="left"/>
            </w:pPr>
            <w:r>
              <w:t xml:space="preserve">Budget Planning &amp; Cost Optimization</w:t>
            </w:r>
          </w:p>
        </w:tc>
        <w:tc>
          <w:tcPr/>
          <w:p>
            <w:pPr>
              <w:pStyle w:val="Compact"/>
              <w:jc w:val="left"/>
            </w:pPr>
            <w:r>
              <w:t xml:space="preserve">Assistance in annual budget formulation, cost structure analysis, and identification of efficiency improvements within the Chile Santiago operations.</w:t>
            </w:r>
          </w:p>
        </w:tc>
        <w:tc>
          <w:tcPr/>
          <w:p>
            <w:pPr>
              <w:pStyle w:val="Compact"/>
              <w:jc w:val="left"/>
            </w:pPr>
            <w:r>
              <w:t xml:space="preserve">6 months</w:t>
            </w:r>
          </w:p>
        </w:tc>
      </w:tr>
      <w:tr>
        <w:tc>
          <w:tcPr/>
          <w:p>
            <w:pPr>
              <w:pStyle w:val="Compact"/>
              <w:jc w:val="left"/>
            </w:pPr>
            <w:r>
              <w:t xml:space="preserve">Regulatory Compliance Advisory</w:t>
            </w:r>
          </w:p>
        </w:tc>
        <w:tc>
          <w:tcPr/>
          <w:p>
            <w:pPr>
              <w:pStyle w:val="Compact"/>
              <w:jc w:val="left"/>
            </w:pPr>
            <w:r>
              <w:t xml:space="preserve">Ongoing guidance on financial reporting standards (IFRS/NIC), tax obligations, and compliance with SVS regulations applicable in Chile.</w:t>
            </w:r>
          </w:p>
        </w:tc>
        <w:tc>
          <w:tcPr/>
          <w:p>
            <w:pPr>
              <w:pStyle w:val="Compact"/>
              <w:jc w:val="left"/>
            </w:pPr>
            <w:r>
              <w:t xml:space="preserve">Ongoing</w:t>
            </w:r>
          </w:p>
        </w:tc>
      </w:tr>
    </w:tbl>
    <w:bookmarkEnd w:id="22"/>
    <w:bookmarkStart w:id="23" w:name="X2feb7b10e508c9630e6d324ec68bd7cb8bcb35e"/>
    <w:p>
      <w:pPr>
        <w:pStyle w:val="Heading2"/>
      </w:pPr>
      <w:r>
        <w:t xml:space="preserve">3. Professional Qualifications of the Financial Analyst</w:t>
      </w:r>
    </w:p>
    <w:p>
      <w:pPr>
        <w:pStyle w:val="FirstParagraph"/>
      </w:pPr>
      <w:r>
        <w:t xml:space="preserve">The</w:t>
      </w:r>
      <w:r>
        <w:t xml:space="preserve"> </w:t>
      </w:r>
      <w:r>
        <w:t xml:space="preserve">Financial Analyst</w:t>
      </w:r>
      <w:r>
        <w:t xml:space="preserve"> </w:t>
      </w:r>
      <w:r>
        <w:t xml:space="preserve">assigned to this engagement holds a Master's degree in Finance from a recognized Chilean university (Universidad de Chile, Pontificia Universidad Católica de Chile, or Universidad Adolfo Ibáñez), possesses a minimum of seven (7) years of progressive experience in financial analysis within the</w:t>
      </w:r>
      <w:r>
        <w:t xml:space="preserve"> </w:t>
      </w:r>
      <w:r>
        <w:t xml:space="preserve">Chile Santiago</w:t>
      </w:r>
      <w:r>
        <w:t xml:space="preserve"> </w:t>
      </w:r>
      <w:r>
        <w:t xml:space="preserve">corporate sector, and maintains current professional certifications including CFA (Chartered Financial Analyst) or equivalent. The analyst is fully registered and authorized to perform financial advisory services within the Republic of Chile.</w:t>
      </w:r>
    </w:p>
    <w:bookmarkEnd w:id="23"/>
    <w:bookmarkStart w:id="24" w:name="X99c9499de5c98ccaacfa8f1f6f8363d33ed1c39"/>
    <w:p>
      <w:pPr>
        <w:pStyle w:val="Heading2"/>
      </w:pPr>
      <w:r>
        <w:t xml:space="preserve">4. Financial Breakdown — Quotation Estimate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(CLP)</w:t>
            </w:r>
          </w:p>
        </w:tc>
        <w:tc>
          <w:tcPr/>
          <w:p>
            <w:pPr>
              <w:pStyle w:val="Compact"/>
              <w:jc w:val="left"/>
            </w:pPr>
            <w:r>
              <w:t xml:space="preserve">Subtotal (CLP)</w:t>
            </w:r>
          </w:p>
        </w:tc>
      </w:tr>
      <w:tr>
        <w:tc>
          <w:tcPr/>
          <w:p>
            <w:pPr>
              <w:pStyle w:val="Compact"/>
              <w:jc w:val="left"/>
            </w:pPr>
            <w:r>
              <w:t xml:space="preserve">Financial Analyst — Monthly Professional Fee</w:t>
            </w:r>
          </w:p>
        </w:tc>
        <w:tc>
          <w:tcPr/>
          <w:p>
            <w:pPr>
              <w:pStyle w:val="Compact"/>
              <w:jc w:val="left"/>
            </w:pPr>
            <w:r>
              <w:t xml:space="preserve">Month</w:t>
            </w:r>
          </w:p>
        </w:tc>
        <w:tc>
          <w:tcPr/>
          <w:p>
            <w:pPr>
              <w:pStyle w:val="Compact"/>
              <w:jc w:val="left"/>
            </w:pPr>
            <w:r>
              <w:t xml:space="preserve">6</w:t>
            </w:r>
          </w:p>
        </w:tc>
        <w:tc>
          <w:tcPr/>
          <w:p>
            <w:pPr>
              <w:pStyle w:val="Compact"/>
              <w:jc w:val="left"/>
            </w:pPr>
            <w:r>
              <w:t xml:space="preserve">1,850,000</w:t>
            </w:r>
          </w:p>
        </w:tc>
        <w:tc>
          <w:tcPr/>
          <w:p>
            <w:pPr>
              <w:pStyle w:val="Compact"/>
              <w:jc w:val="left"/>
            </w:pPr>
            <w:r>
              <w:t xml:space="preserve">11,100,000</w:t>
            </w:r>
          </w:p>
        </w:tc>
      </w:tr>
      <w:tr>
        <w:tc>
          <w:tcPr/>
          <w:p>
            <w:pPr>
              <w:pStyle w:val="Compact"/>
              <w:jc w:val="left"/>
            </w:pPr>
            <w:r>
              <w:t xml:space="preserve">Financial Modeling &amp; Forecasting (Setup)</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Investment Due Diligence Reports</w:t>
            </w:r>
          </w:p>
        </w:tc>
        <w:tc>
          <w:tcPr/>
          <w:p>
            <w:pPr>
              <w:pStyle w:val="Compact"/>
              <w:jc w:val="left"/>
            </w:pPr>
            <w:r>
              <w:t xml:space="preserve">Report</w:t>
            </w:r>
          </w:p>
        </w:tc>
        <w:tc>
          <w:tcPr/>
          <w:p>
            <w:pPr>
              <w:pStyle w:val="Compact"/>
              <w:jc w:val="left"/>
            </w:pPr>
            <w:r>
              <w:t xml:space="preserve">4</w:t>
            </w:r>
          </w:p>
        </w:tc>
        <w:tc>
          <w:tcPr/>
          <w:p>
            <w:pPr>
              <w:pStyle w:val="Compact"/>
              <w:jc w:val="left"/>
            </w:pPr>
            <w:r>
              <w:t xml:space="preserve">850,000</w:t>
            </w:r>
          </w:p>
        </w:tc>
        <w:tc>
          <w:tcPr/>
          <w:p>
            <w:pPr>
              <w:pStyle w:val="Compact"/>
              <w:jc w:val="left"/>
            </w:pPr>
            <w:r>
              <w:t xml:space="preserve">3,400,000</w:t>
            </w:r>
          </w:p>
        </w:tc>
      </w:tr>
      <w:tr>
        <w:tc>
          <w:tcPr/>
          <w:p>
            <w:pPr>
              <w:pStyle w:val="Compact"/>
              <w:jc w:val="left"/>
            </w:pPr>
            <w:r>
              <w:t xml:space="preserve">Monthly Financial Reporting Package</w:t>
            </w:r>
          </w:p>
        </w:tc>
        <w:tc>
          <w:tcPr/>
          <w:p>
            <w:pPr>
              <w:pStyle w:val="Compact"/>
              <w:jc w:val="left"/>
            </w:pPr>
            <w:r>
              <w:t xml:space="preserve">Month</w:t>
            </w:r>
          </w:p>
        </w:tc>
        <w:tc>
          <w:tcPr/>
          <w:p>
            <w:pPr>
              <w:pStyle w:val="Compact"/>
              <w:jc w:val="left"/>
            </w:pPr>
            <w:r>
              <w:t xml:space="preserve">6</w:t>
            </w:r>
          </w:p>
        </w:tc>
        <w:tc>
          <w:tcPr/>
          <w:p>
            <w:pPr>
              <w:pStyle w:val="Compact"/>
              <w:jc w:val="left"/>
            </w:pPr>
            <w:r>
              <w:t xml:space="preserve">450,000</w:t>
            </w:r>
          </w:p>
        </w:tc>
        <w:tc>
          <w:tcPr/>
          <w:p>
            <w:pPr>
              <w:pStyle w:val="Compact"/>
              <w:jc w:val="left"/>
            </w:pPr>
            <w:r>
              <w:t xml:space="preserve">2,700,000</w:t>
            </w:r>
          </w:p>
        </w:tc>
      </w:tr>
      <w:tr>
        <w:tc>
          <w:tcPr/>
          <w:p>
            <w:pPr>
              <w:pStyle w:val="Compact"/>
              <w:jc w:val="left"/>
            </w:pPr>
            <w:r>
              <w:t xml:space="preserve">Budget Planning &amp; Cost Optimization Workshop</w:t>
            </w:r>
          </w:p>
        </w:tc>
        <w:tc>
          <w:tcPr/>
          <w:p>
            <w:pPr>
              <w:pStyle w:val="Compact"/>
              <w:jc w:val="left"/>
            </w:pPr>
            <w:r>
              <w:t xml:space="preserve">Session</w:t>
            </w:r>
          </w:p>
        </w:tc>
        <w:tc>
          <w:tcPr/>
          <w:p>
            <w:pPr>
              <w:pStyle w:val="Compact"/>
              <w:jc w:val="left"/>
            </w:pPr>
            <w:r>
              <w:t xml:space="preserve">3</w:t>
            </w:r>
          </w:p>
        </w:tc>
        <w:tc>
          <w:tcPr/>
          <w:p>
            <w:pPr>
              <w:pStyle w:val="Compact"/>
              <w:jc w:val="left"/>
            </w:pPr>
            <w:r>
              <w:t xml:space="preserve">600,000</w:t>
            </w:r>
          </w:p>
        </w:tc>
        <w:tc>
          <w:tcPr/>
          <w:p>
            <w:pPr>
              <w:pStyle w:val="Compact"/>
              <w:jc w:val="left"/>
            </w:pPr>
            <w:r>
              <w:t xml:space="preserve">1,800,000</w:t>
            </w:r>
          </w:p>
        </w:tc>
      </w:tr>
      <w:tr>
        <w:tc>
          <w:tcPr/>
          <w:p>
            <w:pPr>
              <w:pStyle w:val="Compact"/>
              <w:jc w:val="left"/>
            </w:pPr>
            <w:r>
              <w:t xml:space="preserve">Regulatory Compliance Advisory (Monthly)</w:t>
            </w:r>
          </w:p>
        </w:tc>
        <w:tc>
          <w:tcPr/>
          <w:p>
            <w:pPr>
              <w:pStyle w:val="Compact"/>
              <w:jc w:val="left"/>
            </w:pPr>
            <w:r>
              <w:t xml:space="preserve">Month</w:t>
            </w:r>
          </w:p>
        </w:tc>
        <w:tc>
          <w:tcPr/>
          <w:p>
            <w:pPr>
              <w:pStyle w:val="Compact"/>
              <w:jc w:val="left"/>
            </w:pPr>
            <w:r>
              <w:t xml:space="preserve">6</w:t>
            </w:r>
          </w:p>
        </w:tc>
        <w:tc>
          <w:tcPr/>
          <w:p>
            <w:pPr>
              <w:pStyle w:val="Compact"/>
              <w:jc w:val="left"/>
            </w:pPr>
            <w:r>
              <w:t xml:space="preserve">300,000</w:t>
            </w:r>
          </w:p>
        </w:tc>
        <w:tc>
          <w:tcPr/>
          <w:p>
            <w:pPr>
              <w:pStyle w:val="Compact"/>
              <w:jc w:val="left"/>
            </w:pPr>
            <w:r>
              <w:t xml:space="preserve">1,800,000</w:t>
            </w:r>
          </w:p>
        </w:tc>
      </w:tr>
      <w:tr>
        <w:tc>
          <w:tcPr/>
          <w:p>
            <w:pPr>
              <w:pStyle w:val="Compact"/>
              <w:jc w:val="left"/>
            </w:pPr>
            <w:r>
              <w:t xml:space="preserve">Travel &amp; Local Transportation (Chile Santiago)</w:t>
            </w:r>
          </w:p>
        </w:tc>
        <w:tc>
          <w:tcPr/>
          <w:p>
            <w:pPr>
              <w:pStyle w:val="Compact"/>
              <w:jc w:val="left"/>
            </w:pPr>
            <w:r>
              <w:t xml:space="preserve">Month</w:t>
            </w:r>
          </w:p>
        </w:tc>
        <w:tc>
          <w:tcPr/>
          <w:p>
            <w:pPr>
              <w:pStyle w:val="Compact"/>
              <w:jc w:val="left"/>
            </w:pPr>
            <w:r>
              <w:t xml:space="preserve">6</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Software Licenses &amp; Data Subscriptions</w:t>
            </w:r>
          </w:p>
        </w:tc>
        <w:tc>
          <w:tcPr/>
          <w:p>
            <w:pPr>
              <w:pStyle w:val="Compact"/>
              <w:jc w:val="left"/>
            </w:pPr>
            <w:r>
              <w:t xml:space="preserve">Month</w:t>
            </w:r>
          </w:p>
        </w:tc>
        <w:tc>
          <w:tcPr/>
          <w:p>
            <w:pPr>
              <w:pStyle w:val="Compact"/>
              <w:jc w:val="left"/>
            </w:pPr>
            <w:r>
              <w:t xml:space="preserve">6</w:t>
            </w:r>
          </w:p>
        </w:tc>
        <w:tc>
          <w:tcPr/>
          <w:p>
            <w:pPr>
              <w:pStyle w:val="Compact"/>
              <w:jc w:val="left"/>
            </w:pPr>
            <w:r>
              <w:t xml:space="preserve">280,000</w:t>
            </w:r>
          </w:p>
        </w:tc>
        <w:tc>
          <w:tcPr/>
          <w:p>
            <w:pPr>
              <w:pStyle w:val="Compact"/>
              <w:jc w:val="left"/>
            </w:pPr>
            <w:r>
              <w:t xml:space="preserve">1,680,000</w:t>
            </w:r>
          </w:p>
        </w:tc>
      </w:tr>
      <w:tr>
        <w:tc>
          <w:tcPr>
            <w:gridSpan w:val="4"/>
          </w:tcPr>
          <w:p>
            <w:pPr>
              <w:pStyle w:val="Compact"/>
              <w:jc w:val="left"/>
            </w:pPr>
            <w:r>
              <w:t xml:space="preserve">Subtotal (Before IVA)</w:t>
            </w:r>
          </w:p>
        </w:tc>
        <w:tc>
          <w:tcPr/>
          <w:p>
            <w:pPr>
              <w:pStyle w:val="Compact"/>
              <w:jc w:val="left"/>
            </w:pPr>
            <w:r>
              <w:t xml:space="preserve">25,600,000</w:t>
            </w:r>
          </w:p>
        </w:tc>
      </w:tr>
      <w:tr>
        <w:tc>
          <w:tcPr>
            <w:gridSpan w:val="4"/>
          </w:tcPr>
          <w:p>
            <w:pPr>
              <w:pStyle w:val="Compact"/>
              <w:jc w:val="left"/>
            </w:pPr>
            <w:r>
              <w:t xml:space="preserve">IVA (19%)</w:t>
            </w:r>
          </w:p>
        </w:tc>
        <w:tc>
          <w:tcPr/>
          <w:p>
            <w:pPr>
              <w:pStyle w:val="Compact"/>
              <w:jc w:val="left"/>
            </w:pPr>
            <w:r>
              <w:t xml:space="preserve">4,864,000</w:t>
            </w:r>
          </w:p>
        </w:tc>
      </w:tr>
      <w:tr>
        <w:tc>
          <w:tcPr>
            <w:gridSpan w:val="4"/>
          </w:tcPr>
          <w:p>
            <w:pPr>
              <w:pStyle w:val="Compact"/>
              <w:jc w:val="left"/>
            </w:pPr>
            <w:r>
              <w:t xml:space="preserve">TOTAL AMOUNT (CLP)</w:t>
            </w:r>
          </w:p>
        </w:tc>
        <w:tc>
          <w:tcPr/>
          <w:p>
            <w:pPr>
              <w:pStyle w:val="Compact"/>
              <w:jc w:val="left"/>
            </w:pPr>
            <w:r>
              <w:t xml:space="preserve">30,464,000</w:t>
            </w:r>
          </w:p>
        </w:tc>
      </w:tr>
    </w:tbl>
    <w:p>
      <w:pPr>
        <w:pStyle w:val="BodyText"/>
      </w:pPr>
      <w:r>
        <w:t xml:space="preserve">The total amount of</w:t>
      </w:r>
      <w:r>
        <w:t xml:space="preserve"> </w:t>
      </w:r>
      <w:r>
        <w:rPr>
          <w:bCs/>
          <w:b/>
        </w:rPr>
        <w:t xml:space="preserve">CLP 30,464,000</w:t>
      </w:r>
      <w:r>
        <w:t xml:space="preserve"> </w:t>
      </w:r>
      <w:r>
        <w:t xml:space="preserve">(Thirty Million Four Hundred Sixty-Four Thousand Chilean Pesos) represents the full value of this Quotation Estimate for the Financial Analyst engagement in Chile Santiago. Payment terms are structured as follows: 30% upon contract execution, 40% at the midpoint of the engagement period (Month 3), and 30% upon final delivery and acceptance of all deliverables.</w:t>
      </w:r>
    </w:p>
    <w:bookmarkEnd w:id="24"/>
    <w:bookmarkStart w:id="25" w:name="terms-and-conditions"/>
    <w:p>
      <w:pPr>
        <w:pStyle w:val="Heading2"/>
      </w:pPr>
      <w:r>
        <w:t xml:space="preserve">5. Terms and Conditions</w:t>
      </w:r>
    </w:p>
    <w:p>
      <w:pPr>
        <w:numPr>
          <w:ilvl w:val="0"/>
          <w:numId w:val="1001"/>
        </w:numPr>
        <w:pStyle w:val="Compact"/>
      </w:pPr>
      <w:r>
        <w:t xml:space="preserve">This Quotation Estimate is valid for thirty (30) calendar days from the date of issue. After this period, pricing may be subject to revision based on market conditions in Chile Santiago.</w:t>
      </w:r>
    </w:p>
    <w:p>
      <w:pPr>
        <w:numPr>
          <w:ilvl w:val="0"/>
          <w:numId w:val="1001"/>
        </w:numPr>
        <w:pStyle w:val="Compact"/>
      </w:pPr>
      <w:r>
        <w:t xml:space="preserve">The Financial Analyst shall maintain strict confidentiality of all client financial data, in compliance with Chilean Law No. 19.628 on the Protection of Privacy and the applicable data protection regulations.</w:t>
      </w:r>
    </w:p>
    <w:p>
      <w:pPr>
        <w:numPr>
          <w:ilvl w:val="0"/>
          <w:numId w:val="1001"/>
        </w:numPr>
        <w:pStyle w:val="Compact"/>
      </w:pPr>
      <w:r>
        <w:t xml:space="preserve">All deliverables produced by the Financial Analyst shall be the exclusive intellectual property of the client upon full payment of the amounts specified in this Quotation Estimate.</w:t>
      </w:r>
    </w:p>
    <w:p>
      <w:pPr>
        <w:numPr>
          <w:ilvl w:val="0"/>
          <w:numId w:val="1001"/>
        </w:numPr>
        <w:pStyle w:val="Compact"/>
      </w:pPr>
      <w:r>
        <w:t xml:space="preserve">Any scope modifications or additional services beyond those outlined herein will require a written amendment to this Quotation Estimate, signed by both parties.</w:t>
      </w:r>
    </w:p>
    <w:p>
      <w:pPr>
        <w:numPr>
          <w:ilvl w:val="0"/>
          <w:numId w:val="1001"/>
        </w:numPr>
        <w:pStyle w:val="Compact"/>
      </w:pPr>
      <w:r>
        <w:t xml:space="preserve">The engagement is governed by the laws of the Republic of Chile, and any disputes shall be resolved through the competent courts of the Judicial District of Santiago, Chile.</w:t>
      </w:r>
    </w:p>
    <w:p>
      <w:pPr>
        <w:numPr>
          <w:ilvl w:val="0"/>
          <w:numId w:val="1001"/>
        </w:numPr>
        <w:pStyle w:val="Compact"/>
      </w:pPr>
      <w:r>
        <w:t xml:space="preserve">Force majeure events, including but not limited to natural disasters common to the Chile Santiago region (seismic activity, volcanic events), shall suspend obligations proportionally to the duration of the event.</w:t>
      </w:r>
    </w:p>
    <w:p>
      <w:pPr>
        <w:numPr>
          <w:ilvl w:val="0"/>
          <w:numId w:val="1001"/>
        </w:numPr>
        <w:pStyle w:val="Compact"/>
      </w:pPr>
      <w:r>
        <w:t xml:space="preserve">Taxes: All amounts are subject to the applicable Chilean tax regime. The client is responsible for any withholding taxes as required by the SII.</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for Financial Analyst services in Chile Santiago and agrees to the terms, conditions, and pricing outlined herein. This signature constitutes formal acceptance of the Quotation Estimate and authorizes Andes Capital Advisory S.A. to proceed with the engagement.</w:t>
      </w:r>
    </w:p>
    <w:p>
      <w:pPr>
        <w:pStyle w:val="BodyText"/>
      </w:pPr>
      <w:r>
        <w:rPr>
          <w:bCs/>
          <w:b/>
        </w:rPr>
        <w:t xml:space="preserve">For Andes Capital Advisory S.A.</w:t>
      </w:r>
      <w:r>
        <w:br/>
      </w:r>
      <w:r>
        <w:t xml:space="preserve">Name: [Authorized Representative]</w:t>
      </w:r>
      <w:r>
        <w:br/>
      </w:r>
      <w:r>
        <w:t xml:space="preserve">Title: Managing Director</w:t>
      </w:r>
      <w:r>
        <w:br/>
      </w:r>
      <w:r>
        <w:t xml:space="preserve">Date: _______________</w:t>
      </w:r>
    </w:p>
    <w:p>
      <w:pPr>
        <w:pStyle w:val="BodyText"/>
      </w:pPr>
      <w:r>
        <w:rPr>
          <w:bCs/>
          <w:b/>
        </w:rPr>
        <w:t xml:space="preserve">For the Client</w:t>
      </w:r>
      <w:r>
        <w:br/>
      </w:r>
      <w:r>
        <w:t xml:space="preserve">Name: [Client Representative]</w:t>
      </w:r>
      <w:r>
        <w:br/>
      </w:r>
      <w:r>
        <w:t xml:space="preserve">Title: [Position]</w:t>
      </w:r>
      <w:r>
        <w:br/>
      </w:r>
      <w:r>
        <w:t xml:space="preserve">Date: _______________</w:t>
      </w:r>
    </w:p>
    <w:p>
      <w:pPr>
        <w:pStyle w:val="BodyText"/>
      </w:pPr>
      <w:r>
        <w:t xml:space="preserve">Andes Capital Advisory S.A. | Av. Apoquindo 4501, Piso 12, Las Condes, Chile Santiago, Región Metropolitana</w:t>
      </w:r>
      <w:r>
        <w:br/>
      </w:r>
      <w:r>
        <w:t xml:space="preserve">RUT: 76.543.210-K | Phone: +56 2 2345 6789 | Email: quotations@andescapital.cl</w:t>
      </w:r>
      <w:r>
        <w:br/>
      </w:r>
      <w:r>
        <w:t xml:space="preserve">This Quotation Estimate is a confidential commercial document. Unauthorized reproduction or distribution is prohibited under Chilean intellectual property law.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Services - Chile Santiago</dc:title>
  <dc:creator/>
  <dc:language>en</dc:language>
  <cp:keywords/>
  <dcterms:created xsi:type="dcterms:W3CDTF">2026-10-10T04:06:59Z</dcterms:created>
  <dcterms:modified xsi:type="dcterms:W3CDTF">2026-10-10T04:06:59Z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