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Financial Analyst Services — Egypt Cairo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QE-EGY-CAI-2025-0472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Nile Delta Advisory &amp; Consulting Group, 12 Tahrir Square, Downtown, Egypt Cairo</w:t>
            </w:r>
          </w:p>
        </w:tc>
      </w:tr>
      <w:tr>
        <w:tc>
          <w:tcPr/>
          <w:p>
            <w:pPr>
              <w:pStyle w:val="Compact"/>
              <w:jc w:val="left"/>
            </w:pPr>
            <w:r>
              <w:t xml:space="preserve">Prepared For</w:t>
            </w:r>
          </w:p>
        </w:tc>
        <w:tc>
          <w:tcPr/>
          <w:p>
            <w:pPr>
              <w:pStyle w:val="Compact"/>
              <w:jc w:val="left"/>
            </w:pPr>
            <w:r>
              <w:t xml:space="preserve">[Client Name / Organization], Egypt Cairo</w:t>
            </w:r>
          </w:p>
        </w:tc>
      </w:tr>
      <w:tr>
        <w:tc>
          <w:tcPr/>
          <w:p>
            <w:pPr>
              <w:pStyle w:val="Compact"/>
              <w:jc w:val="left"/>
            </w:pPr>
            <w:r>
              <w:t xml:space="preserve">Service Category</w:t>
            </w:r>
          </w:p>
        </w:tc>
        <w:tc>
          <w:tcPr/>
          <w:p>
            <w:pPr>
              <w:pStyle w:val="Compact"/>
              <w:jc w:val="left"/>
            </w:pPr>
            <w:r>
              <w:t xml:space="preserve">Financial Analyst Engagement — Full-Scope Advisory</w:t>
            </w:r>
          </w:p>
        </w:tc>
      </w:tr>
      <w:tr>
        <w:tc>
          <w:tcPr/>
          <w:p>
            <w:pPr>
              <w:pStyle w:val="Compact"/>
              <w:jc w:val="left"/>
            </w:pPr>
            <w:r>
              <w:t xml:space="preserve">Currency</w:t>
            </w:r>
          </w:p>
        </w:tc>
        <w:tc>
          <w:tcPr/>
          <w:p>
            <w:pPr>
              <w:pStyle w:val="Compact"/>
              <w:jc w:val="left"/>
            </w:pPr>
            <w:r>
              <w:t xml:space="preserve">Egyptian Pound (EGP) / US Dollar (USD)</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Nile Delta Advisory &amp; Consulting Group to provide a comprehensive, itemized breakdown of costs associated with the engagement of a senior</w:t>
      </w:r>
      <w:r>
        <w:t xml:space="preserve"> </w:t>
      </w:r>
      <w:r>
        <w:t xml:space="preserve">Financial Analyst</w:t>
      </w:r>
      <w:r>
        <w:t xml:space="preserve"> </w:t>
      </w:r>
      <w:r>
        <w:t xml:space="preserve">to deliver specialized advisory services within the Egypt Cairo metropolitan area. The scope of this engagement encompasses financial modeling, variance analysis, budgeting support, investment evaluation, and strategic reporting tailored to the operational and regulatory environment of Egypt Cairo. This document serves as the definitive pricing reference for all parties involved and outlines the deliverables, timelines, and commercial terms governing the proposed Financial Analyst assignment.</w:t>
      </w:r>
    </w:p>
    <w:bookmarkEnd w:id="21"/>
    <w:bookmarkStart w:id="22" w:name="scope-of-work-financial-analyst-services"/>
    <w:p>
      <w:pPr>
        <w:pStyle w:val="Heading2"/>
      </w:pPr>
      <w:r>
        <w:t xml:space="preserve">2. Scope of Work — Financial Analyst Services</w:t>
      </w:r>
    </w:p>
    <w:p>
      <w:pPr>
        <w:pStyle w:val="FirstParagraph"/>
      </w:pPr>
      <w:r>
        <w:t xml:space="preserve">The</w:t>
      </w:r>
      <w:r>
        <w:t xml:space="preserve"> </w:t>
      </w:r>
      <w:r>
        <w:t xml:space="preserve">Financial Analyst</w:t>
      </w:r>
      <w:r>
        <w:t xml:space="preserve"> </w:t>
      </w:r>
      <w:r>
        <w:t xml:space="preserve">engaged under this Quotation Estimate will perform the following core duties within the Egypt Cairo business ecosystem:</w:t>
      </w:r>
    </w:p>
    <w:p>
      <w:pPr>
        <w:numPr>
          <w:ilvl w:val="0"/>
          <w:numId w:val="1001"/>
        </w:numPr>
        <w:pStyle w:val="Compact"/>
      </w:pPr>
      <w:r>
        <w:rPr>
          <w:bCs/>
          <w:b/>
        </w:rPr>
        <w:t xml:space="preserve">Financial Modeling &amp; Forecasting:</w:t>
      </w:r>
      <w:r>
        <w:t xml:space="preserve"> </w:t>
      </w:r>
      <w:r>
        <w:t xml:space="preserve">Development of multi-year revenue, cost, and cash-flow models aligned with Egyptian Central Bank (CBE) reporting standards and IFRS compliance requirements applicable in Egypt Cairo.</w:t>
      </w:r>
    </w:p>
    <w:p>
      <w:pPr>
        <w:numPr>
          <w:ilvl w:val="0"/>
          <w:numId w:val="1001"/>
        </w:numPr>
        <w:pStyle w:val="Compact"/>
      </w:pPr>
      <w:r>
        <w:rPr>
          <w:bCs/>
          <w:b/>
        </w:rPr>
        <w:t xml:space="preserve">Budgeting &amp; Variance Analysis:</w:t>
      </w:r>
      <w:r>
        <w:t xml:space="preserve"> </w:t>
      </w:r>
      <w:r>
        <w:t xml:space="preserve">Preparation of annual and quarterly budgets, monthly variance reports, and corrective-action recommendations for the client's Egypt Cairo operations.</w:t>
      </w:r>
    </w:p>
    <w:p>
      <w:pPr>
        <w:numPr>
          <w:ilvl w:val="0"/>
          <w:numId w:val="1001"/>
        </w:numPr>
        <w:pStyle w:val="Compact"/>
      </w:pPr>
      <w:r>
        <w:rPr>
          <w:bCs/>
          <w:b/>
        </w:rPr>
        <w:t xml:space="preserve">Investment Appraisal:</w:t>
      </w:r>
      <w:r>
        <w:t xml:space="preserve"> </w:t>
      </w:r>
      <w:r>
        <w:t xml:space="preserve">Conducting discounted cash flow (DCF) analyses, net present value (NPV) calculations, and internal rate of return (IRR) assessments for capital expenditure projects situated in Egypt Cairo.</w:t>
      </w:r>
    </w:p>
    <w:p>
      <w:pPr>
        <w:numPr>
          <w:ilvl w:val="0"/>
          <w:numId w:val="1001"/>
        </w:numPr>
        <w:pStyle w:val="Compact"/>
      </w:pPr>
      <w:r>
        <w:rPr>
          <w:bCs/>
          <w:b/>
        </w:rPr>
        <w:t xml:space="preserve">Regulatory &amp; Tax Advisory:</w:t>
      </w:r>
      <w:r>
        <w:t xml:space="preserve"> </w:t>
      </w:r>
      <w:r>
        <w:t xml:space="preserve">Ensuring all financial outputs comply with the Egyptian Tax Authority (ETA) regulations, the Egyptian Financial Regulatory Authority (EFRA) guidelines, and local accounting standards in force in Egypt Cairo.</w:t>
      </w:r>
    </w:p>
    <w:p>
      <w:pPr>
        <w:numPr>
          <w:ilvl w:val="0"/>
          <w:numId w:val="1001"/>
        </w:numPr>
        <w:pStyle w:val="Compact"/>
      </w:pPr>
      <w:r>
        <w:rPr>
          <w:bCs/>
          <w:b/>
        </w:rPr>
        <w:t xml:space="preserve">Stakeholder Reporting:</w:t>
      </w:r>
      <w:r>
        <w:t xml:space="preserve"> </w:t>
      </w:r>
      <w:r>
        <w:t xml:space="preserve">Production of board-level financial dashboards, investor presentations, and management reports on a monthly and quarterly basis.</w:t>
      </w:r>
    </w:p>
    <w:p>
      <w:pPr>
        <w:numPr>
          <w:ilvl w:val="0"/>
          <w:numId w:val="1001"/>
        </w:numPr>
        <w:pStyle w:val="Compact"/>
      </w:pPr>
      <w:r>
        <w:rPr>
          <w:bCs/>
          <w:b/>
        </w:rPr>
        <w:t xml:space="preserve">Market Intelligence:</w:t>
      </w:r>
      <w:r>
        <w:t xml:space="preserve"> </w:t>
      </w:r>
      <w:r>
        <w:t xml:space="preserve">Monitoring of Egypt Cairo capital markets, currency fluctuation impacts (EGP/USD), and sector-specific trends relevant to the client's industry vertical.</w:t>
      </w:r>
    </w:p>
    <w:bookmarkEnd w:id="22"/>
    <w:bookmarkStart w:id="23" w:name="engagement-duration-location"/>
    <w:p>
      <w:pPr>
        <w:pStyle w:val="Heading2"/>
      </w:pPr>
      <w:r>
        <w:t xml:space="preserve">3. Engagement Duration &amp; Location</w:t>
      </w:r>
    </w:p>
    <w:p>
      <w:pPr>
        <w:pStyle w:val="FirstParagraph"/>
      </w:pPr>
      <w:r>
        <w:t xml:space="preserve">The Financial Analyst engagement is proposed for an initial period of</w:t>
      </w:r>
      <w:r>
        <w:t xml:space="preserve"> </w:t>
      </w:r>
      <w:r>
        <w:rPr>
          <w:bCs/>
          <w:b/>
        </w:rPr>
        <w:t xml:space="preserve">twelve (12) months</w:t>
      </w:r>
      <w:r>
        <w:t xml:space="preserve">, commencing on the date of contract execution. The primary work location shall be the client's office premises in Egypt Cairo, with a hybrid arrangement permitting up to two (2) days per week of remote work. All on-site work will be conducted within the Egypt Cairo metropolitan area, including but not limited to the districts of Downtown, New Cairo, and the 6th of October City. Travel within Egypt Cairo for site visits, bank meetings, or regulatory authority interactions is included in the quoted rates.</w:t>
      </w:r>
    </w:p>
    <w:bookmarkEnd w:id="23"/>
    <w:bookmarkStart w:id="24" w:name="quotation-estimate-itemized-pricing"/>
    <w:p>
      <w:pPr>
        <w:pStyle w:val="Heading2"/>
      </w:pPr>
      <w:r>
        <w:t xml:space="preserve">4. Quotation Estimate — Itemized Pricing</w:t>
      </w:r>
    </w:p>
    <w:p>
      <w:pPr>
        <w:pStyle w:val="FirstParagraph"/>
      </w:pPr>
      <w:r>
        <w:t xml:space="preserve">The following table constitutes the complete</w:t>
      </w:r>
      <w:r>
        <w:t xml:space="preserve"> </w:t>
      </w:r>
      <w:r>
        <w:t xml:space="preserve">Quotation Estimate</w:t>
      </w:r>
      <w:r>
        <w:t xml:space="preserve"> </w:t>
      </w:r>
      <w:r>
        <w:t xml:space="preserve">for the Financial Analyst services described herein. All figures are exclusive of Value Added Tax (VAT) at the prevailing Egyptian rate of 14%, unless otherwise stated.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(EGP)</w:t>
            </w:r>
          </w:p>
        </w:tc>
        <w:tc>
          <w:tcPr/>
          <w:p>
            <w:pPr>
              <w:pStyle w:val="Compact"/>
              <w:jc w:val="left"/>
            </w:pPr>
            <w:r>
              <w:t xml:space="preserve">Qty</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Senior Financial Analyst — Monthly Retainer (Egypt Cairo on-site)</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Financial Model Development &amp; Calibration (one-time)</w:t>
            </w:r>
          </w:p>
        </w:tc>
        <w:tc>
          <w:tcPr/>
          <w:p>
            <w:pPr>
              <w:pStyle w:val="Compact"/>
              <w:jc w:val="left"/>
            </w:pPr>
            <w:r>
              <w:t xml:space="preserve">Project</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Investment Appraisal &amp; Feasibility Studies (per project)</w:t>
            </w:r>
          </w:p>
        </w:tc>
        <w:tc>
          <w:tcPr/>
          <w:p>
            <w:pPr>
              <w:pStyle w:val="Compact"/>
              <w:jc w:val="left"/>
            </w:pPr>
            <w:r>
              <w:t xml:space="preserve">Project</w:t>
            </w:r>
          </w:p>
        </w:tc>
        <w:tc>
          <w:tcPr/>
          <w:p>
            <w:pPr>
              <w:pStyle w:val="Compact"/>
              <w:jc w:val="left"/>
            </w:pPr>
            <w:r>
              <w:t xml:space="preserve">45,000</w:t>
            </w:r>
          </w:p>
        </w:tc>
        <w:tc>
          <w:tcPr/>
          <w:p>
            <w:pPr>
              <w:pStyle w:val="Compact"/>
              <w:jc w:val="left"/>
            </w:pPr>
            <w:r>
              <w:t xml:space="preserve">4</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Regulatory Compliance Review &amp; EFRA Filing Support</w:t>
            </w:r>
          </w:p>
        </w:tc>
        <w:tc>
          <w:tcPr/>
          <w:p>
            <w:pPr>
              <w:pStyle w:val="Compact"/>
              <w:jc w:val="left"/>
            </w:pPr>
            <w:r>
              <w:t xml:space="preserve">Quarter</w:t>
            </w:r>
          </w:p>
        </w:tc>
        <w:tc>
          <w:tcPr/>
          <w:p>
            <w:pPr>
              <w:pStyle w:val="Compact"/>
              <w:jc w:val="left"/>
            </w:pPr>
            <w:r>
              <w:t xml:space="preserve">25,000</w:t>
            </w:r>
          </w:p>
        </w:tc>
        <w:tc>
          <w:tcPr/>
          <w:p>
            <w:pPr>
              <w:pStyle w:val="Compact"/>
              <w:jc w:val="left"/>
            </w:pPr>
            <w:r>
              <w:t xml:space="preserve">4</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Board &amp; Investor Reporting Packages</w:t>
            </w:r>
          </w:p>
        </w:tc>
        <w:tc>
          <w:tcPr/>
          <w:p>
            <w:pPr>
              <w:pStyle w:val="Compact"/>
              <w:jc w:val="left"/>
            </w:pPr>
            <w:r>
              <w:t xml:space="preserve">Quarter</w:t>
            </w:r>
          </w:p>
        </w:tc>
        <w:tc>
          <w:tcPr/>
          <w:p>
            <w:pPr>
              <w:pStyle w:val="Compact"/>
              <w:jc w:val="left"/>
            </w:pPr>
            <w:r>
              <w:t xml:space="preserve">18,000</w:t>
            </w:r>
          </w:p>
        </w:tc>
        <w:tc>
          <w:tcPr/>
          <w:p>
            <w:pPr>
              <w:pStyle w:val="Compact"/>
              <w:jc w:val="left"/>
            </w:pPr>
            <w:r>
              <w:t xml:space="preserve">4</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Market Intelligence &amp; Currency Risk Reports (Egypt Cairo focus)</w:t>
            </w:r>
          </w:p>
        </w:tc>
        <w:tc>
          <w:tcPr/>
          <w:p>
            <w:pPr>
              <w:pStyle w:val="Compact"/>
              <w:jc w:val="left"/>
            </w:pPr>
            <w:r>
              <w:t xml:space="preserve">Month</w:t>
            </w:r>
          </w:p>
        </w:tc>
        <w:tc>
          <w:tcPr/>
          <w:p>
            <w:pPr>
              <w:pStyle w:val="Compact"/>
              <w:jc w:val="left"/>
            </w:pPr>
            <w:r>
              <w:t xml:space="preserve">8,500</w:t>
            </w:r>
          </w:p>
        </w:tc>
        <w:tc>
          <w:tcPr/>
          <w:p>
            <w:pPr>
              <w:pStyle w:val="Compact"/>
              <w:jc w:val="left"/>
            </w:pPr>
            <w:r>
              <w:t xml:space="preserve">12</w:t>
            </w:r>
          </w:p>
        </w:tc>
        <w:tc>
          <w:tcPr/>
          <w:p>
            <w:pPr>
              <w:pStyle w:val="Compact"/>
              <w:jc w:val="left"/>
            </w:pPr>
            <w:r>
              <w:t xml:space="preserve">102,000</w:t>
            </w:r>
          </w:p>
        </w:tc>
      </w:tr>
      <w:tr>
        <w:tc>
          <w:tcPr/>
          <w:p>
            <w:pPr>
              <w:pStyle w:val="Compact"/>
              <w:jc w:val="left"/>
            </w:pPr>
            <w:r>
              <w:t xml:space="preserve">7</w:t>
            </w:r>
          </w:p>
        </w:tc>
        <w:tc>
          <w:tcPr/>
          <w:p>
            <w:pPr>
              <w:pStyle w:val="Compact"/>
              <w:jc w:val="left"/>
            </w:pPr>
            <w:r>
              <w:t xml:space="preserve">Local Travel &amp; Logistics within Egypt Cairo</w:t>
            </w:r>
          </w:p>
        </w:tc>
        <w:tc>
          <w:tcPr/>
          <w:p>
            <w:pPr>
              <w:pStyle w:val="Compact"/>
              <w:jc w:val="left"/>
            </w:pPr>
            <w:r>
              <w:t xml:space="preserve">Month</w:t>
            </w:r>
          </w:p>
        </w:tc>
        <w:tc>
          <w:tcPr/>
          <w:p>
            <w:pPr>
              <w:pStyle w:val="Compact"/>
              <w:jc w:val="left"/>
            </w:pPr>
            <w:r>
              <w:t xml:space="preserve">5,000</w:t>
            </w:r>
          </w:p>
        </w:tc>
        <w:tc>
          <w:tcPr/>
          <w:p>
            <w:pPr>
              <w:pStyle w:val="Compact"/>
              <w:jc w:val="left"/>
            </w:pPr>
            <w:r>
              <w:t xml:space="preserve">12</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Software Licenses (Bloomberg Terminal, Excel Add-ins, Power BI)</w:t>
            </w:r>
          </w:p>
        </w:tc>
        <w:tc>
          <w:tcPr/>
          <w:p>
            <w:pPr>
              <w:pStyle w:val="Compact"/>
              <w:jc w:val="left"/>
            </w:pPr>
            <w:r>
              <w:t xml:space="preserve">Year</w:t>
            </w:r>
          </w:p>
        </w:tc>
        <w:tc>
          <w:tcPr/>
          <w:p>
            <w:pPr>
              <w:pStyle w:val="Compact"/>
              <w:jc w:val="left"/>
            </w:pPr>
            <w:r>
              <w:t xml:space="preserve">96,000</w:t>
            </w:r>
          </w:p>
        </w:tc>
        <w:tc>
          <w:tcPr/>
          <w:p>
            <w:pPr>
              <w:pStyle w:val="Compact"/>
              <w:jc w:val="left"/>
            </w:pPr>
            <w:r>
              <w:t xml:space="preserve">1</w:t>
            </w:r>
          </w:p>
        </w:tc>
        <w:tc>
          <w:tcPr/>
          <w:p>
            <w:pPr>
              <w:pStyle w:val="Compact"/>
              <w:jc w:val="left"/>
            </w:pPr>
            <w:r>
              <w:t xml:space="preserve">96,000</w:t>
            </w:r>
          </w:p>
        </w:tc>
      </w:tr>
      <w:tr>
        <w:tc>
          <w:tcPr>
            <w:gridSpan w:val="5"/>
          </w:tcPr>
          <w:p>
            <w:pPr>
              <w:pStyle w:val="Compact"/>
              <w:jc w:val="left"/>
            </w:pPr>
            <w:r>
              <w:t xml:space="preserve">Subtotal (EGP)</w:t>
            </w:r>
          </w:p>
        </w:tc>
        <w:tc>
          <w:tcPr/>
          <w:p>
            <w:pPr>
              <w:pStyle w:val="Compact"/>
              <w:jc w:val="left"/>
            </w:pPr>
            <w:r>
              <w:t xml:space="preserve">1,750,000</w:t>
            </w:r>
          </w:p>
        </w:tc>
      </w:tr>
      <w:tr>
        <w:tc>
          <w:tcPr>
            <w:gridSpan w:val="5"/>
          </w:tcPr>
          <w:p>
            <w:pPr>
              <w:pStyle w:val="Compact"/>
              <w:jc w:val="left"/>
            </w:pPr>
            <w:r>
              <w:t xml:space="preserve">VAT @ 14% (EGP)</w:t>
            </w:r>
          </w:p>
        </w:tc>
        <w:tc>
          <w:tcPr/>
          <w:p>
            <w:pPr>
              <w:pStyle w:val="Compact"/>
              <w:jc w:val="left"/>
            </w:pPr>
            <w:r>
              <w:t xml:space="preserve">245,000</w:t>
            </w:r>
          </w:p>
        </w:tc>
      </w:tr>
      <w:tr>
        <w:tc>
          <w:tcPr>
            <w:gridSpan w:val="5"/>
          </w:tcPr>
          <w:p>
            <w:pPr>
              <w:pStyle w:val="Compact"/>
              <w:jc w:val="left"/>
            </w:pPr>
            <w:r>
              <w:t xml:space="preserve">Grand Total (EGP)</w:t>
            </w:r>
          </w:p>
        </w:tc>
        <w:tc>
          <w:tcPr/>
          <w:p>
            <w:pPr>
              <w:pStyle w:val="Compact"/>
              <w:jc w:val="left"/>
            </w:pPr>
            <w:r>
              <w:t xml:space="preserve">1,995,000</w:t>
            </w:r>
          </w:p>
        </w:tc>
      </w:tr>
      <w:tr>
        <w:tc>
          <w:tcPr>
            <w:gridSpan w:val="5"/>
          </w:tcPr>
          <w:p>
            <w:pPr>
              <w:pStyle w:val="Compact"/>
              <w:jc w:val="left"/>
            </w:pPr>
            <w:r>
              <w:t xml:space="preserve">Grand Total (USD equivalent @ EGP 48.50/USD)</w:t>
            </w:r>
          </w:p>
        </w:tc>
        <w:tc>
          <w:tcPr/>
          <w:p>
            <w:pPr>
              <w:pStyle w:val="Compact"/>
              <w:jc w:val="left"/>
            </w:pPr>
            <w:r>
              <w:t xml:space="preserve">~41,134</w:t>
            </w:r>
          </w:p>
        </w:tc>
      </w:tr>
    </w:tbl>
    <w:bookmarkEnd w:id="24"/>
    <w:bookmarkStart w:id="25" w:name="payment-terms"/>
    <w:p>
      <w:pPr>
        <w:pStyle w:val="Heading2"/>
      </w:pPr>
      <w:r>
        <w:t xml:space="preserve">5. Payment Terms</w:t>
      </w:r>
    </w:p>
    <w:p>
      <w:pPr>
        <w:pStyle w:val="FirstParagraph"/>
      </w:pPr>
      <w:r>
        <w:t xml:space="preserve">Payment for the Financial Analyst services outlined in this Quotation Estimate shall be made on a monthly basis, invoiced on the first business day of each month for services rendered in the preceding month. The one-time project fees (Items 2 and 3) shall be invoiced upon project initiation and settled within fifteen (15) calendar days of invoice receipt. Late payments shall accrue interest at a rate of 1.5% per month, in accordance with Egyptian commercial law. All payments shall be made via bank transfer to the designated account of Nile Delta Advisory &amp; Consulting Group, Egypt Cairo.</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thirty (30) days from the date of issue. Beyond this period, rates may be revised to reflect changes in the Egypt Cairo economic environment, including EGP/USD exchange rate movements.</w:t>
      </w:r>
    </w:p>
    <w:p>
      <w:pPr>
        <w:numPr>
          <w:ilvl w:val="0"/>
          <w:numId w:val="1002"/>
        </w:numPr>
        <w:pStyle w:val="Compact"/>
      </w:pPr>
      <w:r>
        <w:t xml:space="preserve">The Financial Analyst shall adhere to strict confidentiality obligations as defined in the separate Non-Disclosure Agreement (NDA) executed prior to commencement of work in Egypt Cairo.</w:t>
      </w:r>
    </w:p>
    <w:p>
      <w:pPr>
        <w:numPr>
          <w:ilvl w:val="0"/>
          <w:numId w:val="1002"/>
        </w:numPr>
        <w:pStyle w:val="Compact"/>
      </w:pPr>
      <w:r>
        <w:t xml:space="preserve">Either party may terminate the engagement with thirty (30) days' written notice. In the event of early termination, all fees for services rendered up to the termination date, plus a 10% administrative fee, shall be due.</w:t>
      </w:r>
    </w:p>
    <w:p>
      <w:pPr>
        <w:numPr>
          <w:ilvl w:val="0"/>
          <w:numId w:val="1002"/>
        </w:numPr>
        <w:pStyle w:val="Compact"/>
      </w:pPr>
      <w:r>
        <w:t xml:space="preserve">All deliverables produced by the Financial Analyst shall become the property of the client upon full payment of the corresponding Quotation Estimate line items.</w:t>
      </w:r>
    </w:p>
    <w:p>
      <w:pPr>
        <w:numPr>
          <w:ilvl w:val="0"/>
          <w:numId w:val="1002"/>
        </w:numPr>
        <w:pStyle w:val="Compact"/>
      </w:pPr>
      <w:r>
        <w:t xml:space="preserve">This engagement is governed by the laws of the Arab Republic of Egypt, and any disputes shall be resolved through arbitration in Egypt Cairo in accordance with the rules of the Egyptian Arbitration Center.</w:t>
      </w:r>
    </w:p>
    <w:p>
      <w:pPr>
        <w:numPr>
          <w:ilvl w:val="0"/>
          <w:numId w:val="1002"/>
        </w:numPr>
        <w:pStyle w:val="Compact"/>
      </w:pPr>
      <w:r>
        <w:t xml:space="preserve">The Financial Analyst shall maintain professional indemnity insurance with a minimum coverage of EGP 2,000,000, valid throughout the engagement period in Egypt Cairo.</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accept the terms, scope, and pricing set forth in this Quotation Estimate for the Financial Analyst engagement in Egypt Cairo. This document, once countersigned, constitutes a binding commercial agreement between the parties.</w:t>
      </w:r>
    </w:p>
    <w:p>
      <w:pPr>
        <w:pStyle w:val="BodyText"/>
      </w:pPr>
      <w:r>
        <w:rPr>
          <w:bCs/>
          <w:b/>
        </w:rPr>
        <w:t xml:space="preserve">For Nile Delta Advisory &amp; Consulting Group</w:t>
      </w:r>
    </w:p>
    <w:p>
      <w:pPr>
        <w:pStyle w:val="BodyText"/>
      </w:pPr>
      <w:r>
        <w:t xml:space="preserve">Name: _________________________</w:t>
      </w:r>
      <w:r>
        <w:br/>
      </w:r>
      <w:r>
        <w:t xml:space="preserve">Title: Managing Director</w:t>
      </w:r>
      <w:r>
        <w:br/>
      </w:r>
      <w:r>
        <w:t xml:space="preserve">Signature &amp; 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Date: _______________</w:t>
      </w:r>
    </w:p>
    <w:p>
      <w:pPr>
        <w:pStyle w:val="BodyText"/>
      </w:pPr>
      <w:r>
        <w:t xml:space="preserve">Quotation Estimate No. QE-EGY-CAI-2025-0472 — Nile Delta Advisory &amp; Consulting Group — Egypt Cairo</w:t>
      </w:r>
      <w:r>
        <w:br/>
      </w:r>
      <w:r>
        <w:t xml:space="preserve">This document is confidential and intended solely for the named recipient.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Egypt Cairo</dc:title>
  <dc:creator/>
  <dc:language>en</dc:language>
  <cp:keywords/>
  <dcterms:created xsi:type="dcterms:W3CDTF">2026-10-10T02:32:35Z</dcterms:created>
  <dcterms:modified xsi:type="dcterms:W3CDTF">2026-10-10T02:32:35Z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