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Professional Financial Analyst Services</w:t>
      </w:r>
    </w:p>
    <w:p>
      <w:pPr>
        <w:pStyle w:val="BodyText"/>
      </w:pPr>
      <w:r>
        <w:t xml:space="preserve">Prepared for Clients in</w:t>
      </w:r>
      <w:r>
        <w:t xml:space="preserve"> </w:t>
      </w:r>
      <w:r>
        <w:rPr>
          <w:bCs/>
          <w:b/>
        </w:rPr>
        <w:t xml:space="preserve">Ethiopia Addis Ababa</w:t>
      </w:r>
    </w:p>
    <w:p>
      <w:pPr>
        <w:pStyle w:val="BodyText"/>
      </w:pPr>
      <w:r>
        <w:t xml:space="preserve">Document Reference: QE-FA-2025-0047 | Date: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Horizon Advisory &amp; Analytics PLC, Bole Road, Addis Ababa, Ethiopia</w:t>
            </w:r>
          </w:p>
        </w:tc>
      </w:tr>
      <w:tr>
        <w:tc>
          <w:tcPr/>
          <w:p>
            <w:pPr>
              <w:pStyle w:val="Compact"/>
              <w:jc w:val="left"/>
            </w:pPr>
            <w:r>
              <w:t xml:space="preserve">Prepared For</w:t>
            </w:r>
          </w:p>
        </w:tc>
        <w:tc>
          <w:tcPr/>
          <w:p>
            <w:pPr>
              <w:pStyle w:val="Compact"/>
              <w:jc w:val="left"/>
            </w:pPr>
            <w:r>
              <w:t xml:space="preserve">[Client Name / Organization], Ethiopia Addis Ababa</w:t>
            </w:r>
          </w:p>
        </w:tc>
      </w:tr>
      <w:tr>
        <w:tc>
          <w:tcPr/>
          <w:p>
            <w:pPr>
              <w:pStyle w:val="Compact"/>
              <w:jc w:val="left"/>
            </w:pPr>
            <w:r>
              <w:t xml:space="preserve">Quotation Estimate No.</w:t>
            </w:r>
          </w:p>
        </w:tc>
        <w:tc>
          <w:tcPr/>
          <w:p>
            <w:pPr>
              <w:pStyle w:val="Compact"/>
              <w:jc w:val="left"/>
            </w:pPr>
            <w:r>
              <w:t xml:space="preserve">QE-FA-2025-0047</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Currency</w:t>
            </w:r>
          </w:p>
        </w:tc>
        <w:tc>
          <w:tcPr/>
          <w:p>
            <w:pPr>
              <w:pStyle w:val="Compact"/>
              <w:jc w:val="left"/>
            </w:pPr>
            <w:r>
              <w:t xml:space="preserve">Ethiopian Birr (ETB) / US Dollar (USD) as applicable</w:t>
            </w:r>
          </w:p>
        </w:tc>
      </w:tr>
      <w:tr>
        <w:tc>
          <w:tcPr/>
          <w:p>
            <w:pPr>
              <w:pStyle w:val="Compact"/>
              <w:jc w:val="left"/>
            </w:pPr>
            <w:r>
              <w:t xml:space="preserve">Service Location</w:t>
            </w:r>
          </w:p>
        </w:tc>
        <w:tc>
          <w:tcPr/>
          <w:p>
            <w:pPr>
              <w:pStyle w:val="Compact"/>
              <w:jc w:val="left"/>
            </w:pPr>
            <w:r>
              <w:t xml:space="preserve">Ethiopia Addis Ababa (On-site and Remote Hybrid)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Horizon Advisory &amp; Analytics PLC to provide a comprehensive and transparent cost breakdown for the engagement of a qualified</w:t>
      </w:r>
      <w:r>
        <w:t xml:space="preserve"> </w:t>
      </w:r>
      <w:r>
        <w:t xml:space="preserve">Financial Analyst</w:t>
      </w:r>
      <w:r>
        <w:t xml:space="preserve"> </w:t>
      </w:r>
      <w:r>
        <w:t xml:space="preserve">to deliver specialized financial advisory, reporting, and analytical services to the client's operations within</w:t>
      </w:r>
      <w:r>
        <w:t xml:space="preserve"> </w:t>
      </w:r>
      <w:r>
        <w:t xml:space="preserve">Ethiopia Addis Ababa</w:t>
      </w:r>
      <w:r>
        <w:t xml:space="preserve">. This Quotation Estimate covers all professional fees, resource allocation, and associated costs required to fulfill the scope of work described herein. The Financial Analyst engagement is designed to meet the regulatory, operational, and strategic financial needs of organizations operating in the Ethiopia Addis Ababa business environment, in compliance with the National Bank of Ethiopia directives and the Ethiopian Revenue and Customs Authority reporting standards.</w:t>
      </w:r>
    </w:p>
    <w:bookmarkEnd w:id="21"/>
    <w:bookmarkStart w:id="22" w:name="scope-of-work-financial-analyst-services"/>
    <w:p>
      <w:pPr>
        <w:pStyle w:val="Heading2"/>
      </w:pPr>
      <w:r>
        <w:t xml:space="preserve">2. Scope of Work – Financial Analyst Services</w:t>
      </w:r>
    </w:p>
    <w:p>
      <w:pPr>
        <w:pStyle w:val="FirstParagraph"/>
      </w:pPr>
      <w:r>
        <w:t xml:space="preserve">The</w:t>
      </w:r>
      <w:r>
        <w:t xml:space="preserve"> </w:t>
      </w:r>
      <w:r>
        <w:t xml:space="preserve">Financial Analyst</w:t>
      </w:r>
      <w:r>
        <w:t xml:space="preserve"> </w:t>
      </w:r>
      <w:r>
        <w:t xml:space="preserve">engaged under this Quotation Estimate shall perform the following duties and deliverables within the Ethiopia Addis Ababa operational context:</w:t>
      </w:r>
    </w:p>
    <w:p>
      <w:pPr>
        <w:numPr>
          <w:ilvl w:val="0"/>
          <w:numId w:val="1001"/>
        </w:numPr>
        <w:pStyle w:val="Compact"/>
      </w:pPr>
      <w:r>
        <w:t xml:space="preserve">Preparation and maintenance of monthly, quarterly, and annual financial statements in accordance with IFRS and Ethiopian Accounting Standards (EAS).</w:t>
      </w:r>
    </w:p>
    <w:p>
      <w:pPr>
        <w:numPr>
          <w:ilvl w:val="0"/>
          <w:numId w:val="1001"/>
        </w:numPr>
        <w:pStyle w:val="Compact"/>
      </w:pPr>
      <w:r>
        <w:t xml:space="preserve">Development of comprehensive financial models, cash flow projections, and budgeting frameworks tailored to the Ethiopia Addis Ababa market conditions.</w:t>
      </w:r>
    </w:p>
    <w:p>
      <w:pPr>
        <w:numPr>
          <w:ilvl w:val="0"/>
          <w:numId w:val="1001"/>
        </w:numPr>
        <w:pStyle w:val="Compact"/>
      </w:pPr>
      <w:r>
        <w:t xml:space="preserve">Conducting variance analysis, ratio analysis, and trend assessments to support strategic decision-making for the client.</w:t>
      </w:r>
    </w:p>
    <w:p>
      <w:pPr>
        <w:numPr>
          <w:ilvl w:val="0"/>
          <w:numId w:val="1001"/>
        </w:numPr>
        <w:pStyle w:val="Compact"/>
      </w:pPr>
      <w:r>
        <w:t xml:space="preserve">Assisting with regulatory filings, tax computations, and compliance reporting as mandated by Ethiopian federal and Addis Ababa city-level authorities.</w:t>
      </w:r>
    </w:p>
    <w:p>
      <w:pPr>
        <w:numPr>
          <w:ilvl w:val="0"/>
          <w:numId w:val="1001"/>
        </w:numPr>
        <w:pStyle w:val="Compact"/>
      </w:pPr>
      <w:r>
        <w:t xml:space="preserve">Providing ad-hoc financial research, due diligence support, and investment feasibility studies relevant to the Ethiopia Addis Ababa economic landscape.</w:t>
      </w:r>
    </w:p>
    <w:p>
      <w:pPr>
        <w:numPr>
          <w:ilvl w:val="0"/>
          <w:numId w:val="1001"/>
        </w:numPr>
        <w:pStyle w:val="Compact"/>
      </w:pPr>
      <w:r>
        <w:t xml:space="preserve">Collaboration with internal audit teams and external auditors during annual audit cycles.</w:t>
      </w:r>
    </w:p>
    <w:p>
      <w:pPr>
        <w:numPr>
          <w:ilvl w:val="0"/>
          <w:numId w:val="1001"/>
        </w:numPr>
        <w:pStyle w:val="Compact"/>
      </w:pPr>
      <w:r>
        <w:t xml:space="preserve">Monthly written reports and quarterly presentation briefings to the client's executive management in Addis Ababa.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Rate (ETB)</w:t>
            </w:r>
          </w:p>
        </w:tc>
        <w:tc>
          <w:tcPr/>
          <w:p>
            <w:pPr>
              <w:pStyle w:val="Compact"/>
              <w:jc w:val="left"/>
            </w:pPr>
            <w:r>
              <w:t xml:space="preserve">Amount (ETB)</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Financial Analyst – Monthly Retainer (Full-time, 8 hrs/day, 5 days/week, on-site in Addis Ababa)</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c>
          <w:tcPr/>
          <w:p>
            <w:pPr>
              <w:pStyle w:val="Compact"/>
              <w:jc w:val="left"/>
            </w:pPr>
            <w:r>
              <w:t xml:space="preserve">16,363.64</w:t>
            </w:r>
          </w:p>
        </w:tc>
      </w:tr>
      <w:tr>
        <w:tc>
          <w:tcPr/>
          <w:p>
            <w:pPr>
              <w:pStyle w:val="Compact"/>
              <w:jc w:val="left"/>
            </w:pPr>
            <w:r>
              <w:t xml:space="preserve">2</w:t>
            </w:r>
          </w:p>
        </w:tc>
        <w:tc>
          <w:tcPr/>
          <w:p>
            <w:pPr>
              <w:pStyle w:val="Compact"/>
              <w:jc w:val="left"/>
            </w:pPr>
            <w:r>
              <w:t xml:space="preserve">Financial Modeling &amp; Budgeting Framework Development (One-time deliverable)</w:t>
            </w:r>
          </w:p>
        </w:tc>
        <w:tc>
          <w:tcPr/>
          <w:p>
            <w:pPr>
              <w:pStyle w:val="Compact"/>
              <w:jc w:val="left"/>
            </w:pPr>
            <w:r>
              <w:t xml:space="preserve">1 month</w:t>
            </w:r>
          </w:p>
        </w:tc>
        <w:tc>
          <w:tcPr/>
          <w:p>
            <w:pPr>
              <w:pStyle w:val="Compact"/>
              <w:jc w:val="left"/>
            </w:pPr>
            <w:r>
              <w:t xml:space="preserve">350,000 (lump sum)</w:t>
            </w:r>
          </w:p>
        </w:tc>
        <w:tc>
          <w:tcPr/>
          <w:p>
            <w:pPr>
              <w:pStyle w:val="Compact"/>
              <w:jc w:val="left"/>
            </w:pPr>
            <w:r>
              <w:t xml:space="preserve">350,000</w:t>
            </w:r>
          </w:p>
        </w:tc>
        <w:tc>
          <w:tcPr/>
          <w:p>
            <w:pPr>
              <w:pStyle w:val="Compact"/>
              <w:jc w:val="left"/>
            </w:pPr>
            <w:r>
              <w:t xml:space="preserve">2,575.76</w:t>
            </w:r>
          </w:p>
        </w:tc>
      </w:tr>
      <w:tr>
        <w:tc>
          <w:tcPr/>
          <w:p>
            <w:pPr>
              <w:pStyle w:val="Compact"/>
              <w:jc w:val="left"/>
            </w:pPr>
            <w:r>
              <w:t xml:space="preserve">3</w:t>
            </w:r>
          </w:p>
        </w:tc>
        <w:tc>
          <w:tcPr/>
          <w:p>
            <w:pPr>
              <w:pStyle w:val="Compact"/>
              <w:jc w:val="left"/>
            </w:pPr>
            <w:r>
              <w:t xml:space="preserve">Regulatory Compliance &amp; Tax Filing Support (National Bank of Ethiopia, ERC, Addis Ababa City Tax Office)</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c>
          <w:tcPr/>
          <w:p>
            <w:pPr>
              <w:pStyle w:val="Compact"/>
              <w:jc w:val="left"/>
            </w:pPr>
            <w:r>
              <w:t xml:space="preserve">3,980.77</w:t>
            </w:r>
          </w:p>
        </w:tc>
      </w:tr>
      <w:tr>
        <w:tc>
          <w:tcPr/>
          <w:p>
            <w:pPr>
              <w:pStyle w:val="Compact"/>
              <w:jc w:val="left"/>
            </w:pPr>
            <w:r>
              <w:t xml:space="preserve">4</w:t>
            </w:r>
          </w:p>
        </w:tc>
        <w:tc>
          <w:tcPr/>
          <w:p>
            <w:pPr>
              <w:pStyle w:val="Compact"/>
              <w:jc w:val="left"/>
            </w:pPr>
            <w:r>
              <w:t xml:space="preserve">Quarterly Strategic Financial Review &amp; Board Presentation (4 sessions per year in Addis Ababa)</w:t>
            </w:r>
          </w:p>
        </w:tc>
        <w:tc>
          <w:tcPr/>
          <w:p>
            <w:pPr>
              <w:pStyle w:val="Compact"/>
              <w:jc w:val="left"/>
            </w:pPr>
            <w:r>
              <w:t xml:space="preserve">12 months</w:t>
            </w:r>
          </w:p>
        </w:tc>
        <w:tc>
          <w:tcPr/>
          <w:p>
            <w:pPr>
              <w:pStyle w:val="Compact"/>
              <w:jc w:val="left"/>
            </w:pPr>
            <w:r>
              <w:t xml:space="preserve">120,000 / session</w:t>
            </w:r>
          </w:p>
        </w:tc>
        <w:tc>
          <w:tcPr/>
          <w:p>
            <w:pPr>
              <w:pStyle w:val="Compact"/>
              <w:jc w:val="left"/>
            </w:pPr>
            <w:r>
              <w:t xml:space="preserve">480,000</w:t>
            </w:r>
          </w:p>
        </w:tc>
        <w:tc>
          <w:tcPr/>
          <w:p>
            <w:pPr>
              <w:pStyle w:val="Compact"/>
              <w:jc w:val="left"/>
            </w:pPr>
            <w:r>
              <w:t xml:space="preserve">3,542.86</w:t>
            </w:r>
          </w:p>
        </w:tc>
      </w:tr>
      <w:tr>
        <w:tc>
          <w:tcPr/>
          <w:p>
            <w:pPr>
              <w:pStyle w:val="Compact"/>
              <w:jc w:val="left"/>
            </w:pPr>
            <w:r>
              <w:t xml:space="preserve">5</w:t>
            </w:r>
          </w:p>
        </w:tc>
        <w:tc>
          <w:tcPr/>
          <w:p>
            <w:pPr>
              <w:pStyle w:val="Compact"/>
              <w:jc w:val="left"/>
            </w:pPr>
            <w:r>
              <w:t xml:space="preserve">Ad-hoc Financial Research &amp; Due Diligence (Up to 40 hours per year)</w:t>
            </w:r>
          </w:p>
        </w:tc>
        <w:tc>
          <w:tcPr/>
          <w:p>
            <w:pPr>
              <w:pStyle w:val="Compact"/>
              <w:jc w:val="left"/>
            </w:pPr>
            <w:r>
              <w:t xml:space="preserve">12 months</w:t>
            </w:r>
          </w:p>
        </w:tc>
        <w:tc>
          <w:tcPr/>
          <w:p>
            <w:pPr>
              <w:pStyle w:val="Compact"/>
              <w:jc w:val="left"/>
            </w:pPr>
            <w:r>
              <w:t xml:space="preserve">3,500 / hour</w:t>
            </w:r>
          </w:p>
        </w:tc>
        <w:tc>
          <w:tcPr/>
          <w:p>
            <w:pPr>
              <w:pStyle w:val="Compact"/>
              <w:jc w:val="left"/>
            </w:pPr>
            <w:r>
              <w:t xml:space="preserve">140,000</w:t>
            </w:r>
          </w:p>
        </w:tc>
        <w:tc>
          <w:tcPr/>
          <w:p>
            <w:pPr>
              <w:pStyle w:val="Compact"/>
              <w:jc w:val="left"/>
            </w:pPr>
            <w:r>
              <w:t xml:space="preserve">1,031.75</w:t>
            </w:r>
          </w:p>
        </w:tc>
      </w:tr>
      <w:tr>
        <w:tc>
          <w:tcPr/>
          <w:p>
            <w:pPr>
              <w:pStyle w:val="Compact"/>
              <w:jc w:val="left"/>
            </w:pPr>
            <w:r>
              <w:t xml:space="preserve">6</w:t>
            </w:r>
          </w:p>
        </w:tc>
        <w:tc>
          <w:tcPr/>
          <w:p>
            <w:pPr>
              <w:pStyle w:val="Compact"/>
              <w:jc w:val="left"/>
            </w:pPr>
            <w:r>
              <w:t xml:space="preserve">Software &amp; Licensing (Bloomberg Terminal access, Excel add-ins, Ethiopian tax software)</w:t>
            </w:r>
          </w:p>
        </w:tc>
        <w:tc>
          <w:tcPr/>
          <w:p>
            <w:pPr>
              <w:pStyle w:val="Compact"/>
              <w:jc w:val="left"/>
            </w:pPr>
            <w:r>
              <w:t xml:space="preserve">12 months</w:t>
            </w:r>
          </w:p>
        </w:tc>
        <w:tc>
          <w:tcPr/>
          <w:p>
            <w:pPr>
              <w:pStyle w:val="Compact"/>
              <w:jc w:val="left"/>
            </w:pPr>
            <w:r>
              <w:t xml:space="preserve">95,000 / year</w:t>
            </w:r>
          </w:p>
        </w:tc>
        <w:tc>
          <w:tcPr/>
          <w:p>
            <w:pPr>
              <w:pStyle w:val="Compact"/>
              <w:jc w:val="left"/>
            </w:pPr>
            <w:r>
              <w:t xml:space="preserve">95,000</w:t>
            </w:r>
          </w:p>
        </w:tc>
        <w:tc>
          <w:tcPr/>
          <w:p>
            <w:pPr>
              <w:pStyle w:val="Compact"/>
              <w:jc w:val="left"/>
            </w:pPr>
            <w:r>
              <w:t xml:space="preserve">700.00</w:t>
            </w:r>
          </w:p>
        </w:tc>
      </w:tr>
      <w:tr>
        <w:tc>
          <w:tcPr/>
          <w:p>
            <w:pPr>
              <w:pStyle w:val="Compact"/>
              <w:jc w:val="left"/>
            </w:pPr>
            <w:r>
              <w:t xml:space="preserve">7</w:t>
            </w:r>
          </w:p>
        </w:tc>
        <w:tc>
          <w:tcPr/>
          <w:p>
            <w:pPr>
              <w:pStyle w:val="Compact"/>
              <w:jc w:val="left"/>
            </w:pPr>
            <w:r>
              <w:t xml:space="preserve">Travel &amp; Local Transportation within Ethiopia Addis Ababa (Client site visits, regulatory offices)</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c>
          <w:tcPr/>
          <w:p>
            <w:pPr>
              <w:pStyle w:val="Compact"/>
              <w:jc w:val="left"/>
            </w:pPr>
            <w:r>
              <w:t xml:space="preserve">2,214.29</w:t>
            </w:r>
          </w:p>
        </w:tc>
      </w:tr>
      <w:tr>
        <w:tc>
          <w:tcPr/>
          <w:p>
            <w:pPr>
              <w:pStyle w:val="Compact"/>
              <w:jc w:val="left"/>
            </w:pPr>
            <w:r>
              <w:t xml:space="preserve">8</w:t>
            </w:r>
          </w:p>
        </w:tc>
        <w:tc>
          <w:tcPr/>
          <w:p>
            <w:pPr>
              <w:pStyle w:val="Compact"/>
              <w:jc w:val="left"/>
            </w:pPr>
            <w:r>
              <w:t xml:space="preserve">Project Management &amp; Quality Assurance Oversight</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c>
          <w:tcPr/>
          <w:p>
            <w:pPr>
              <w:pStyle w:val="Compact"/>
              <w:jc w:val="left"/>
            </w:pPr>
            <w:r>
              <w:t xml:space="preserve">2,652.17</w:t>
            </w:r>
          </w:p>
        </w:tc>
      </w:tr>
      <w:tr>
        <w:tc>
          <w:tcPr>
            <w:gridSpan w:val="4"/>
          </w:tcPr>
          <w:p>
            <w:pPr>
              <w:pStyle w:val="Compact"/>
              <w:jc w:val="right"/>
            </w:pPr>
            <w:r>
              <w:t xml:space="preserve">SUBTOTAL</w:t>
            </w:r>
          </w:p>
        </w:tc>
        <w:tc>
          <w:tcPr/>
          <w:p>
            <w:pPr>
              <w:pStyle w:val="Compact"/>
              <w:jc w:val="left"/>
            </w:pPr>
            <w:r>
              <w:t xml:space="preserve">4,485,000</w:t>
            </w:r>
          </w:p>
        </w:tc>
        <w:tc>
          <w:tcPr/>
          <w:p>
            <w:pPr>
              <w:pStyle w:val="Compact"/>
              <w:jc w:val="left"/>
            </w:pPr>
            <w:r>
              <w:t xml:space="preserve">33,061.24</w:t>
            </w:r>
          </w:p>
        </w:tc>
      </w:tr>
      <w:tr>
        <w:tc>
          <w:tcPr>
            <w:gridSpan w:val="4"/>
          </w:tcPr>
          <w:p>
            <w:pPr>
              <w:pStyle w:val="Compact"/>
              <w:jc w:val="right"/>
            </w:pPr>
            <w:r>
              <w:t xml:space="preserve">VAT (15% – Ethiopian Value Added Tax)</w:t>
            </w:r>
          </w:p>
        </w:tc>
        <w:tc>
          <w:tcPr/>
          <w:p>
            <w:pPr>
              <w:pStyle w:val="Compact"/>
              <w:jc w:val="left"/>
            </w:pPr>
            <w:r>
              <w:t xml:space="preserve">672,750</w:t>
            </w:r>
          </w:p>
        </w:tc>
        <w:tc>
          <w:tcPr/>
          <w:p>
            <w:pPr>
              <w:pStyle w:val="Compact"/>
              <w:jc w:val="left"/>
            </w:pPr>
            <w:r>
              <w:t xml:space="preserve">4,959.19</w:t>
            </w:r>
          </w:p>
        </w:tc>
      </w:tr>
      <w:tr>
        <w:tc>
          <w:tcPr>
            <w:gridSpan w:val="4"/>
          </w:tcPr>
          <w:p>
            <w:pPr>
              <w:pStyle w:val="Compact"/>
              <w:jc w:val="right"/>
            </w:pPr>
            <w:r>
              <w:t xml:space="preserve">GRAND TOTAL</w:t>
            </w:r>
          </w:p>
        </w:tc>
        <w:tc>
          <w:tcPr/>
          <w:p>
            <w:pPr>
              <w:pStyle w:val="Compact"/>
              <w:jc w:val="left"/>
            </w:pPr>
            <w:r>
              <w:t xml:space="preserve">5,157,750</w:t>
            </w:r>
          </w:p>
        </w:tc>
        <w:tc>
          <w:tcPr/>
          <w:p>
            <w:pPr>
              <w:pStyle w:val="Compact"/>
              <w:jc w:val="left"/>
            </w:pPr>
            <w:r>
              <w:t xml:space="preserve">38,020.43</w:t>
            </w:r>
          </w:p>
        </w:tc>
      </w:tr>
    </w:tbl>
    <w:p>
      <w:pPr>
        <w:pStyle w:val="BodyText"/>
      </w:pPr>
      <w:r>
        <w:t xml:space="preserve">* Exchange rate used: 1 USD = 135.65 ETB (National Bank of Ethiopia reference rate as of 15 June 2025). Final USD equivalent subject to prevailing rate at time of invoicing.</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terms are subject to revision based on prevailing market conditions in Ethiopia Addis Ababa.</w:t>
      </w:r>
    </w:p>
    <w:p>
      <w:pPr>
        <w:numPr>
          <w:ilvl w:val="0"/>
          <w:numId w:val="1002"/>
        </w:numPr>
        <w:pStyle w:val="Compact"/>
      </w:pPr>
      <w:r>
        <w:t xml:space="preserve">Payment shall be made in monthly installments within fifteen (15) business days of invoice receipt. The first invoice shall be issued upon commencement of the Financial Analyst engagement.</w:t>
      </w:r>
    </w:p>
    <w:p>
      <w:pPr>
        <w:numPr>
          <w:ilvl w:val="0"/>
          <w:numId w:val="1002"/>
        </w:numPr>
        <w:pStyle w:val="Compact"/>
      </w:pPr>
      <w:r>
        <w:t xml:space="preserve">The Financial Analyst services described in this Quotation Estimate are to be performed primarily at the client's premises in Ethiopia Addis Ababa, with the option of remote work for up to two (2) days per week as mutually agreed.</w:t>
      </w:r>
    </w:p>
    <w:p>
      <w:pPr>
        <w:numPr>
          <w:ilvl w:val="0"/>
          <w:numId w:val="1002"/>
        </w:numPr>
        <w:pStyle w:val="Compact"/>
      </w:pPr>
      <w:r>
        <w:t xml:space="preserve">All deliverables, reports, and financial models produced under this engagement shall remain the exclusive intellectual property of the client upon full payment.</w:t>
      </w:r>
    </w:p>
    <w:p>
      <w:pPr>
        <w:numPr>
          <w:ilvl w:val="0"/>
          <w:numId w:val="1002"/>
        </w:numPr>
        <w:pStyle w:val="Compact"/>
      </w:pPr>
      <w:r>
        <w:t xml:space="preserve">Horizon Advisory &amp; Analytics PLC shall maintain professional indemnity insurance and comply with all labor, tax, and social security obligations under Ethiopian law for the duration of the Financial Analyst engagement.</w:t>
      </w:r>
    </w:p>
    <w:p>
      <w:pPr>
        <w:numPr>
          <w:ilvl w:val="0"/>
          <w:numId w:val="1002"/>
        </w:numPr>
        <w:pStyle w:val="Compact"/>
      </w:pPr>
      <w:r>
        <w:t xml:space="preserve">Either party may terminate this Quotation Estimate agreement with thirty (30) days' written notice. In the event of early termination, fees for services rendered up to the termination date shall be payable in full.</w:t>
      </w:r>
    </w:p>
    <w:p>
      <w:pPr>
        <w:numPr>
          <w:ilvl w:val="0"/>
          <w:numId w:val="1002"/>
        </w:numPr>
        <w:pStyle w:val="Compact"/>
      </w:pPr>
      <w:r>
        <w:t xml:space="preserve">This Quotation Estimate does not constitute a binding contract until both parties have executed the formal Service Agreement. All terms herein are subject to the final executed contract.</w:t>
      </w:r>
    </w:p>
    <w:p>
      <w:pPr>
        <w:numPr>
          <w:ilvl w:val="0"/>
          <w:numId w:val="1002"/>
        </w:numPr>
        <w:pStyle w:val="Compact"/>
      </w:pPr>
      <w:r>
        <w:t xml:space="preserve">Any disputes arising from this Quotation Estimate or the subsequent engagement shall be resolved through amicable negotiation in Addis Ababa, Ethiopia, and failing that, through the competent courts of Ethiopia Addis Ababa.</w:t>
      </w:r>
    </w:p>
    <w:p>
      <w:pPr>
        <w:numPr>
          <w:ilvl w:val="0"/>
          <w:numId w:val="1002"/>
        </w:numPr>
        <w:pStyle w:val="Compact"/>
      </w:pPr>
      <w:r>
        <w:t xml:space="preserve">The Financial Analyst shall adhere to strict confidentiality obligations regarding all financial data, proprietary information, and trade secrets of the client, in accordance with Ethiopian commercial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Financial Analyst</w:t>
      </w:r>
      <w:r>
        <w:t xml:space="preserve"> </w:t>
      </w:r>
      <w:r>
        <w:t xml:space="preserve">engagement in</w:t>
      </w:r>
      <w:r>
        <w:t xml:space="preserve"> </w:t>
      </w:r>
      <w:r>
        <w:t xml:space="preserve">Ethiopia Addis Ababa</w:t>
      </w:r>
      <w:r>
        <w:t xml:space="preserve">.</w:t>
      </w:r>
    </w:p>
    <w:p>
      <w:pPr>
        <w:pStyle w:val="BodyText"/>
      </w:pPr>
      <w:r>
        <w:rPr>
          <w:bCs/>
          <w:b/>
        </w:rPr>
        <w:t xml:space="preserve">For Horizon Advisory &amp; Analytics PLC</w:t>
      </w:r>
      <w:r>
        <w:br/>
      </w:r>
      <w:r>
        <w:br/>
      </w:r>
      <w:r>
        <w:t xml:space="preserve">______________________________</w:t>
      </w:r>
      <w:r>
        <w:br/>
      </w:r>
      <w:r>
        <w:t xml:space="preserve">Name: Dawit Tadesse</w:t>
      </w:r>
      <w:r>
        <w:br/>
      </w:r>
      <w:r>
        <w:t xml:space="preserve">Title: Managing Director</w:t>
      </w:r>
      <w:r>
        <w:br/>
      </w:r>
      <w:r>
        <w:t xml:space="preserve">Date: _______________</w:t>
      </w:r>
    </w:p>
    <w:p>
      <w:pPr>
        <w:pStyle w:val="BodyText"/>
      </w:pPr>
      <w:r>
        <w:rPr>
          <w:bCs/>
          <w:b/>
        </w:rPr>
        <w:t xml:space="preserve">For the Client</w:t>
      </w:r>
      <w:r>
        <w:br/>
      </w:r>
      <w:r>
        <w:br/>
      </w:r>
      <w:r>
        <w:t xml:space="preserve">______________________________</w:t>
      </w:r>
      <w:r>
        <w:br/>
      </w:r>
      <w:r>
        <w:t xml:space="preserve">Name: ______________________</w:t>
      </w:r>
      <w:r>
        <w:br/>
      </w:r>
      <w:r>
        <w:t xml:space="preserve">Title: ______________________</w:t>
      </w:r>
      <w:r>
        <w:br/>
      </w:r>
      <w:r>
        <w:t xml:space="preserve">Date: _______________</w:t>
      </w:r>
    </w:p>
    <w:p>
      <w:pPr>
        <w:pStyle w:val="BodyText"/>
      </w:pPr>
      <w:r>
        <w:t xml:space="preserve">Horizon Advisory &amp; Analytics PLC | Bole Road, Addis Ababa, Ethiopia | Tel: +251-11-555-0142 | Email: info@horizonanalytics.et</w:t>
      </w:r>
    </w:p>
    <w:p>
      <w:pPr>
        <w:pStyle w:val="BodyText"/>
      </w:pPr>
      <w:r>
        <w:t xml:space="preserve">This Quotation Estimate document is generated electronically and is valid without a physical stamp. Reference: QE-FA-2025-0047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Ethiopia Addis Ababa</dc:title>
  <dc:creator/>
  <dc:language>en</dc:language>
  <cp:keywords/>
  <dcterms:created xsi:type="dcterms:W3CDTF">2026-10-10T06:27:47Z</dcterms:created>
  <dcterms:modified xsi:type="dcterms:W3CDTF">2026-10-10T06:27:47Z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