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France Marseille</w:t>
      </w:r>
    </w:p>
    <w:bookmarkEnd w:id="20"/>
    <w:p>
      <w:pPr>
        <w:pStyle w:val="BodyText"/>
      </w:pPr>
      <w:r>
        <w:rPr>
          <w:bCs/>
          <w:b/>
        </w:rPr>
        <w:t xml:space="preserve">Document Reference:</w:t>
      </w:r>
      <w:r>
        <w:t xml:space="preserve"> </w:t>
      </w:r>
      <w:r>
        <w:t xml:space="preserve">QTE-2025-FRM-0047</w:t>
      </w:r>
      <w:r>
        <w:br/>
      </w:r>
      <w:r>
        <w:rPr>
          <w:bCs/>
          <w:b/>
        </w:rPr>
        <w:t xml:space="preserve">Date of Issue:</w:t>
      </w:r>
      <w:r>
        <w:t xml:space="preserve"> </w:t>
      </w:r>
      <w:r>
        <w:t xml:space="preserve">14 June 2025</w:t>
      </w:r>
      <w:r>
        <w:br/>
      </w:r>
      <w:r>
        <w:rPr>
          <w:bCs/>
          <w:b/>
        </w:rPr>
        <w:t xml:space="preserve">Validity Period:</w:t>
      </w:r>
      <w:r>
        <w:t xml:space="preserve"> </w:t>
      </w:r>
      <w:r>
        <w:t xml:space="preserve">30 calendar days</w:t>
      </w:r>
    </w:p>
    <w:p>
      <w:pPr>
        <w:pStyle w:val="BodyText"/>
      </w:pPr>
      <w:r>
        <w:rPr>
          <w:bCs/>
          <w:b/>
        </w:rPr>
        <w:t xml:space="preserve">Prepared By:</w:t>
      </w:r>
      <w:r>
        <w:t xml:space="preserve"> </w:t>
      </w:r>
      <w:r>
        <w:t xml:space="preserve">Meridian Advisory Group SAS</w:t>
      </w:r>
      <w:r>
        <w:br/>
      </w:r>
      <w:r>
        <w:rPr>
          <w:bCs/>
          <w:b/>
        </w:rPr>
        <w:t xml:space="preserve">Location:</w:t>
      </w:r>
      <w:r>
        <w:t xml:space="preserve"> </w:t>
      </w:r>
      <w:r>
        <w:t xml:space="preserve">27 Rue de la République, 13001 Marseille, France</w:t>
      </w:r>
      <w:r>
        <w:br/>
      </w:r>
      <w:r>
        <w:rPr>
          <w:bCs/>
          <w:b/>
        </w:rPr>
        <w:t xml:space="preserve">Contact:</w:t>
      </w:r>
      <w:r>
        <w:t xml:space="preserve"> </w:t>
      </w:r>
      <w:r>
        <w:t xml:space="preserve">quotations@meridian-advisory.fr</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the engagement of a dedicated Financial Analyst to support your organisation's strategic and operational decision-making processes in France Marseille. As a leading business advisory firm operating within the Provence-Alpes-Côte d'Azur region, we understand the unique economic landscape of France Marseille, which encompasses a thriving port economy, a growing technology sector, and a diverse range of small to medium enterprises requiring expert financial oversight.</w:t>
      </w:r>
    </w:p>
    <w:p>
      <w:pPr>
        <w:pStyle w:val="BodyText"/>
      </w:pPr>
      <w:r>
        <w:t xml:space="preserve">The Financial Analyst services described in this Quotation Estimate are designed to provide your company with rigorous financial modelling, variance analysis, budgeting support, and forward-looking forecasting capabilities. Whether you are a manufacturing firm on the Marseille waterfront, a logistics company leveraging the Port of Marseille-Fos, or a technology startup in the Euroméditerranée district, our Financial Analyst engagement is tailored to meet the specific regulatory, tax, and market conditions prevalent in France Marseille.</w:t>
      </w:r>
    </w:p>
    <w:bookmarkEnd w:id="21"/>
    <w:bookmarkStart w:id="22" w:name="scope-of-financial-analyst-services"/>
    <w:p>
      <w:pPr>
        <w:pStyle w:val="Heading2"/>
      </w:pPr>
      <w:r>
        <w:t xml:space="preserve">2. Scope of Financial Analyst Services</w:t>
      </w:r>
    </w:p>
    <w:p>
      <w:pPr>
        <w:pStyle w:val="FirstParagraph"/>
      </w:pPr>
      <w:r>
        <w:t xml:space="preserve">The Financial Analyst retained under this Quotation Estimate will perform the following core duties on a full-time basis (35 hours per week, in accordance with French labour law and the applicable collective agreement for France Marseille-based professionals):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Financial Modelling &amp; Forecasting</w:t>
            </w:r>
          </w:p>
        </w:tc>
        <w:tc>
          <w:tcPr/>
          <w:p>
            <w:pPr>
              <w:pStyle w:val="Compact"/>
              <w:jc w:val="left"/>
            </w:pPr>
            <w:r>
              <w:t xml:space="preserve">Construction and maintenance of multi-year financial models incorporating France Marseille-specific economic indicators, inflation rates, and sector benchmarks.</w:t>
            </w:r>
          </w:p>
        </w:tc>
        <w:tc>
          <w:tcPr/>
          <w:p>
            <w:pPr>
              <w:pStyle w:val="Compact"/>
              <w:jc w:val="left"/>
            </w:pPr>
            <w:r>
              <w:t xml:space="preserve">Monthly</w:t>
            </w:r>
          </w:p>
        </w:tc>
      </w:tr>
      <w:tr>
        <w:tc>
          <w:tcPr/>
          <w:p>
            <w:pPr>
              <w:pStyle w:val="Compact"/>
              <w:jc w:val="left"/>
            </w:pPr>
            <w:r>
              <w:t xml:space="preserve">Variance &amp; Performance Analysis</w:t>
            </w:r>
          </w:p>
        </w:tc>
        <w:tc>
          <w:tcPr/>
          <w:p>
            <w:pPr>
              <w:pStyle w:val="Compact"/>
              <w:jc w:val="left"/>
            </w:pPr>
            <w:r>
              <w:t xml:space="preserve">Monthly reconciliation of actual results against budget, with detailed variance commentary and corrective action recommendations.</w:t>
            </w:r>
          </w:p>
        </w:tc>
        <w:tc>
          <w:tcPr/>
          <w:p>
            <w:pPr>
              <w:pStyle w:val="Compact"/>
              <w:jc w:val="left"/>
            </w:pPr>
            <w:r>
              <w:t xml:space="preserve">Monthly</w:t>
            </w:r>
          </w:p>
        </w:tc>
      </w:tr>
      <w:tr>
        <w:tc>
          <w:tcPr/>
          <w:p>
            <w:pPr>
              <w:pStyle w:val="Compact"/>
              <w:jc w:val="left"/>
            </w:pPr>
            <w:r>
              <w:t xml:space="preserve">Budget Preparation Support</w:t>
            </w:r>
          </w:p>
        </w:tc>
        <w:tc>
          <w:tcPr/>
          <w:p>
            <w:pPr>
              <w:pStyle w:val="Compact"/>
              <w:jc w:val="left"/>
            </w:pPr>
            <w:r>
              <w:t xml:space="preserve">Assistance in the annual budgeting cycle, including departmental input consolidation and top-line revenue projections.</w:t>
            </w:r>
          </w:p>
        </w:tc>
        <w:tc>
          <w:tcPr/>
          <w:p>
            <w:pPr>
              <w:pStyle w:val="Compact"/>
              <w:jc w:val="left"/>
            </w:pPr>
            <w:r>
              <w:t xml:space="preserve">Annual (Q4)</w:t>
            </w:r>
          </w:p>
        </w:tc>
      </w:tr>
      <w:tr>
        <w:tc>
          <w:tcPr/>
          <w:p>
            <w:pPr>
              <w:pStyle w:val="Compact"/>
              <w:jc w:val="left"/>
            </w:pPr>
            <w:r>
              <w:t xml:space="preserve">Regulatory &amp; Tax Compliance Reporting</w:t>
            </w:r>
          </w:p>
        </w:tc>
        <w:tc>
          <w:tcPr/>
          <w:p>
            <w:pPr>
              <w:pStyle w:val="Compact"/>
              <w:jc w:val="left"/>
            </w:pPr>
            <w:r>
              <w:t xml:space="preserve">Preparation of financial statements compliant with French GAAP (PCG) and IFRS, ensuring alignment with local France Marseille tax obligations.</w:t>
            </w:r>
          </w:p>
        </w:tc>
        <w:tc>
          <w:tcPr/>
          <w:p>
            <w:pPr>
              <w:pStyle w:val="Compact"/>
              <w:jc w:val="left"/>
            </w:pPr>
            <w:r>
              <w:t xml:space="preserve">Quarterly</w:t>
            </w:r>
          </w:p>
        </w:tc>
      </w:tr>
      <w:tr>
        <w:tc>
          <w:tcPr/>
          <w:p>
            <w:pPr>
              <w:pStyle w:val="Compact"/>
              <w:jc w:val="left"/>
            </w:pPr>
            <w:r>
              <w:t xml:space="preserve">Ad-hoc Analytical Projects</w:t>
            </w:r>
          </w:p>
        </w:tc>
        <w:tc>
          <w:tcPr/>
          <w:p>
            <w:pPr>
              <w:pStyle w:val="Compact"/>
              <w:jc w:val="left"/>
            </w:pPr>
            <w:r>
              <w:t xml:space="preserve">Support for M&amp;A due diligence, capital expenditure appraisal, and special committee presentations as required by management.</w:t>
            </w:r>
          </w:p>
        </w:tc>
        <w:tc>
          <w:tcPr/>
          <w:p>
            <w:pPr>
              <w:pStyle w:val="Compact"/>
              <w:jc w:val="left"/>
            </w:pPr>
            <w:r>
              <w:t xml:space="preserve">As needed</w:t>
            </w:r>
          </w:p>
        </w:tc>
      </w:tr>
    </w:tbl>
    <w:bookmarkEnd w:id="22"/>
    <w:bookmarkStart w:id="23" w:name="X9dd5819cc36251e0d76872a2f1b471926c3a004"/>
    <w:p>
      <w:pPr>
        <w:pStyle w:val="Heading2"/>
      </w:pPr>
      <w:r>
        <w:t xml:space="preserve">3. Financial Breakdown of This Quotation Estimate</w:t>
      </w:r>
    </w:p>
    <w:p>
      <w:pPr>
        <w:pStyle w:val="FirstParagraph"/>
      </w:pPr>
      <w:r>
        <w:t xml:space="preserve">The following table presents the itemised cost structure for the Financial Analyst engagement. All figures are expressed in Euros (EUR) and are exclusive of applicable French Value Added Tax (TVA) at the standard rate of 20%,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Senior Financial Analyst – Monthly Retainer</w:t>
            </w:r>
          </w:p>
        </w:tc>
        <w:tc>
          <w:tcPr/>
          <w:p>
            <w:pPr>
              <w:pStyle w:val="Compact"/>
              <w:jc w:val="left"/>
            </w:pPr>
            <w:r>
              <w:t xml:space="preserve">6,800.00</w:t>
            </w:r>
          </w:p>
        </w:tc>
        <w:tc>
          <w:tcPr/>
          <w:p>
            <w:pPr>
              <w:pStyle w:val="Compact"/>
              <w:jc w:val="left"/>
            </w:pPr>
            <w:r>
              <w:t xml:space="preserve">12 months</w:t>
            </w:r>
          </w:p>
        </w:tc>
        <w:tc>
          <w:tcPr/>
          <w:p>
            <w:pPr>
              <w:pStyle w:val="Compact"/>
              <w:jc w:val="left"/>
            </w:pPr>
            <w:r>
              <w:t xml:space="preserve">81,600.00</w:t>
            </w:r>
          </w:p>
        </w:tc>
      </w:tr>
      <w:tr>
        <w:tc>
          <w:tcPr/>
          <w:p>
            <w:pPr>
              <w:pStyle w:val="Compact"/>
              <w:jc w:val="left"/>
            </w:pPr>
            <w:r>
              <w:t xml:space="preserve">Onboarding &amp; Systems Integration (one-time)</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Specialised Software Licences (Bloomberg Terminal, SAP Analytics)</w:t>
            </w:r>
          </w:p>
        </w:tc>
        <w:tc>
          <w:tcPr/>
          <w:p>
            <w:pPr>
              <w:pStyle w:val="Compact"/>
              <w:jc w:val="left"/>
            </w:pPr>
            <w:r>
              <w:t xml:space="preserve">1,150.00</w:t>
            </w:r>
          </w:p>
        </w:tc>
        <w:tc>
          <w:tcPr/>
          <w:p>
            <w:pPr>
              <w:pStyle w:val="Compact"/>
              <w:jc w:val="left"/>
            </w:pPr>
            <w:r>
              <w:t xml:space="preserve">12 months</w:t>
            </w:r>
          </w:p>
        </w:tc>
        <w:tc>
          <w:tcPr/>
          <w:p>
            <w:pPr>
              <w:pStyle w:val="Compact"/>
              <w:jc w:val="left"/>
            </w:pPr>
            <w:r>
              <w:t xml:space="preserve">13,800.00</w:t>
            </w:r>
          </w:p>
        </w:tc>
      </w:tr>
      <w:tr>
        <w:tc>
          <w:tcPr/>
          <w:p>
            <w:pPr>
              <w:pStyle w:val="Compact"/>
              <w:jc w:val="left"/>
            </w:pPr>
            <w:r>
              <w:t xml:space="preserve">Quarterly Strategic Review Workshops (France Marseille office)</w:t>
            </w:r>
          </w:p>
        </w:tc>
        <w:tc>
          <w:tcPr/>
          <w:p>
            <w:pPr>
              <w:pStyle w:val="Compact"/>
              <w:jc w:val="left"/>
            </w:pPr>
            <w:r>
              <w:t xml:space="preserve">3,200.00</w:t>
            </w:r>
          </w:p>
        </w:tc>
        <w:tc>
          <w:tcPr/>
          <w:p>
            <w:pPr>
              <w:pStyle w:val="Compact"/>
              <w:jc w:val="left"/>
            </w:pPr>
            <w:r>
              <w:t xml:space="preserve">4 sessions</w:t>
            </w:r>
          </w:p>
        </w:tc>
        <w:tc>
          <w:tcPr/>
          <w:p>
            <w:pPr>
              <w:pStyle w:val="Compact"/>
              <w:jc w:val="left"/>
            </w:pPr>
            <w:r>
              <w:t xml:space="preserve">12,800.00</w:t>
            </w:r>
          </w:p>
        </w:tc>
      </w:tr>
      <w:tr>
        <w:tc>
          <w:tcPr/>
          <w:p>
            <w:pPr>
              <w:pStyle w:val="Compact"/>
              <w:jc w:val="left"/>
            </w:pPr>
            <w:r>
              <w:t xml:space="preserve">Ad-hoc Project Allowance (estimated)</w:t>
            </w:r>
          </w:p>
        </w:tc>
        <w:tc>
          <w:tcPr/>
          <w:p>
            <w:pPr>
              <w:pStyle w:val="Compact"/>
              <w:jc w:val="left"/>
            </w:pPr>
            <w:r>
              <w:t xml:space="preserve">450.00/hr</w:t>
            </w:r>
          </w:p>
        </w:tc>
        <w:tc>
          <w:tcPr/>
          <w:p>
            <w:pPr>
              <w:pStyle w:val="Compact"/>
              <w:jc w:val="left"/>
            </w:pPr>
            <w:r>
              <w:t xml:space="preserve">40 hours</w:t>
            </w:r>
          </w:p>
        </w:tc>
        <w:tc>
          <w:tcPr/>
          <w:p>
            <w:pPr>
              <w:pStyle w:val="Compact"/>
              <w:jc w:val="left"/>
            </w:pPr>
            <w:r>
              <w:t xml:space="preserve">18,000.00</w:t>
            </w:r>
          </w:p>
        </w:tc>
      </w:tr>
      <w:tr>
        <w:tc>
          <w:tcPr>
            <w:gridSpan w:val="3"/>
          </w:tcPr>
          <w:p>
            <w:pPr>
              <w:pStyle w:val="Compact"/>
              <w:jc w:val="left"/>
            </w:pPr>
            <w:r>
              <w:t xml:space="preserve">Subtotal (before TVA)</w:t>
            </w:r>
          </w:p>
        </w:tc>
        <w:tc>
          <w:tcPr/>
          <w:p>
            <w:pPr>
              <w:pStyle w:val="Compact"/>
              <w:jc w:val="left"/>
            </w:pPr>
            <w:r>
              <w:t xml:space="preserve">128,600.00</w:t>
            </w:r>
          </w:p>
        </w:tc>
      </w:tr>
      <w:tr>
        <w:tc>
          <w:tcPr>
            <w:gridSpan w:val="3"/>
          </w:tcPr>
          <w:p>
            <w:pPr>
              <w:pStyle w:val="Compact"/>
              <w:jc w:val="left"/>
            </w:pPr>
            <w:r>
              <w:t xml:space="preserve">TVA (20%)</w:t>
            </w:r>
          </w:p>
        </w:tc>
        <w:tc>
          <w:tcPr/>
          <w:p>
            <w:pPr>
              <w:pStyle w:val="Compact"/>
              <w:jc w:val="left"/>
            </w:pPr>
            <w:r>
              <w:t xml:space="preserve">25,720.00</w:t>
            </w:r>
          </w:p>
        </w:tc>
      </w:tr>
      <w:tr>
        <w:tc>
          <w:tcPr>
            <w:gridSpan w:val="3"/>
          </w:tcPr>
          <w:p>
            <w:pPr>
              <w:pStyle w:val="Compact"/>
              <w:jc w:val="left"/>
            </w:pPr>
            <w:r>
              <w:rPr>
                <w:bCs/>
                <w:b/>
              </w:rPr>
              <w:t xml:space="preserve">Grand Total (TTC)</w:t>
            </w:r>
          </w:p>
        </w:tc>
        <w:tc>
          <w:tcPr/>
          <w:p>
            <w:pPr>
              <w:pStyle w:val="Compact"/>
              <w:jc w:val="left"/>
            </w:pPr>
            <w:r>
              <w:rPr>
                <w:bCs/>
                <w:b/>
              </w:rPr>
              <w:t xml:space="preserve">154,320.00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issue. Acceptance of this Quotation Estimate constitutes a binding agreement between the client and Meridian Advisory Group SAS for the provision of Financial Analyst services as described herein. Payment terms are net thirty (30) days from the date of invoice issuance, in accordance with standard commercial practice in France Marseille. In the event of early termination, a notice period of sixty (60) days in writing shall apply, and all fees for services rendered up to the termination date shall remain due and payable.</w:t>
      </w:r>
    </w:p>
    <w:p>
      <w:pPr>
        <w:pStyle w:val="BodyText"/>
      </w:pPr>
      <w:r>
        <w:t xml:space="preserve">The Financial Analyst assigned to this engagement will be subject to a strict confidentiality agreement (NDA) and will comply with all applicable French data protection regulations, including the GDPR and the French Data Protection Act (Loi Informatique et Libertés). All financial data, proprietary models, and strategic documents handled by the Financial Analyst will be stored on secure servers located within France Marseille or within the European Union.</w:t>
      </w:r>
    </w:p>
    <w:bookmarkEnd w:id="24"/>
    <w:bookmarkStart w:id="25" w:name="acceptance-and-signature"/>
    <w:p>
      <w:pPr>
        <w:pStyle w:val="Heading2"/>
      </w:pPr>
      <w:r>
        <w:t xml:space="preserve">5. Acceptance and Signature</w:t>
      </w:r>
    </w:p>
    <w:p>
      <w:pPr>
        <w:pStyle w:val="FirstParagraph"/>
      </w:pPr>
      <w:r>
        <w:t xml:space="preserve">By signing below, the client acknowledges receipt of this Quotation Estimate and agrees to the terms, scope, and pricing outlined for the Financial Analyst engagement in France Marseille. A copy of this signed Quotation Estimate shall be retained by both parties for their respective records.</w:t>
      </w:r>
    </w:p>
    <w:bookmarkEnd w:id="25"/>
    <w:p>
      <w:pPr>
        <w:pStyle w:val="BodyText"/>
      </w:pPr>
      <w:r>
        <w:rPr>
          <w:bCs/>
          <w:b/>
        </w:rPr>
        <w:t xml:space="preserve">For Meridian Advisory Group SAS</w:t>
      </w:r>
      <w:r>
        <w:br/>
      </w:r>
      <w:r>
        <w:t xml:space="preserve">Authorised Signatory</w:t>
      </w:r>
      <w:r>
        <w:br/>
      </w:r>
      <w:r>
        <w:t xml:space="preserve">Date: _______________</w:t>
      </w:r>
    </w:p>
    <w:p>
      <w:pPr>
        <w:pStyle w:val="BodyText"/>
      </w:pPr>
      <w:r>
        <w:rPr>
          <w:bCs/>
          <w:b/>
        </w:rPr>
        <w:t xml:space="preserve">For the Client</w:t>
      </w:r>
      <w:r>
        <w:br/>
      </w:r>
      <w:r>
        <w:t xml:space="preserve">Authorised Signatory</w:t>
      </w:r>
      <w:r>
        <w:br/>
      </w:r>
      <w:r>
        <w:t xml:space="preserve">Date: _______________</w:t>
      </w:r>
    </w:p>
    <w:p>
      <w:pPr>
        <w:pStyle w:val="BodyText"/>
      </w:pPr>
      <w:r>
        <w:rPr>
          <w:bCs/>
          <w:b/>
        </w:rPr>
        <w:t xml:space="preserve">Note:</w:t>
      </w:r>
      <w:r>
        <w:t xml:space="preserve"> </w:t>
      </w:r>
      <w:r>
        <w:t xml:space="preserve">This Quotation Estimate is a non-binding preliminary document. A formal Service Level Agreement (SLA) and Master Services Agreement (MSA) will be executed upon acceptance. All references to France Marseille pertain to the primary operational base; satellite engagements in nearby communes (Aix-en-Provence, Toulon, Nice) may be accommodated at an additional travel surcharge of 15%.</w:t>
      </w:r>
    </w:p>
    <w:p>
      <w:pPr>
        <w:pStyle w:val="BodyText"/>
      </w:pPr>
      <w:r>
        <w:t xml:space="preserve">Meridian Advisory Group SAS | SIRET: 842 567 123 00012 | RCS Marseille | 27 Rue de la République, 13001 Marseille, France</w:t>
      </w:r>
      <w:r>
        <w:br/>
      </w:r>
      <w:r>
        <w:t xml:space="preserve">This Quotation Estimate was generated on 14 June 2025. For queries regarding this Financial Analyst engagement, please contact our France Marseille office at +33 (0)4 91 00 00 00 or by email at quotations@meridian-advisory.fr.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France Marseille</dc:title>
  <dc:creator/>
  <dc:language>en</dc:language>
  <cp:keywords/>
  <dcterms:created xsi:type="dcterms:W3CDTF">2026-10-10T05:49:51Z</dcterms:created>
  <dcterms:modified xsi:type="dcterms:W3CDTF">2026-10-10T05:49:51Z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