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Germany Berlin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QE-2025-BER-0472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Advisory &amp; Consulting GmbH, Friedrichstraße 183, 10117 Berlin, Germany</w:t>
            </w:r>
          </w:p>
        </w:tc>
      </w:tr>
      <w:tr>
        <w:tc>
          <w:tcPr/>
          <w:p>
            <w:pPr>
              <w:pStyle w:val="Compact"/>
              <w:jc w:val="left"/>
            </w:pPr>
            <w:r>
              <w:t xml:space="preserve">Prepared For</w:t>
            </w:r>
          </w:p>
        </w:tc>
        <w:tc>
          <w:tcPr/>
          <w:p>
            <w:pPr>
              <w:pStyle w:val="Compact"/>
              <w:jc w:val="left"/>
            </w:pPr>
            <w:r>
              <w:t xml:space="preserve">[Client Company Name], [Street Address], 10115 Berlin, Germany</w:t>
            </w:r>
          </w:p>
        </w:tc>
      </w:tr>
      <w:tr>
        <w:tc>
          <w:tcPr/>
          <w:p>
            <w:pPr>
              <w:pStyle w:val="Compact"/>
              <w:jc w:val="left"/>
            </w:pPr>
            <w:r>
              <w:t xml:space="preserve">Reference / Project</w:t>
            </w:r>
          </w:p>
        </w:tc>
        <w:tc>
          <w:tcPr/>
          <w:p>
            <w:pPr>
              <w:pStyle w:val="Compact"/>
              <w:jc w:val="left"/>
            </w:pPr>
            <w:r>
              <w:t xml:space="preserve">Engagement of a Senior Financial Analyst – Q3 2025</w:t>
            </w:r>
          </w:p>
        </w:tc>
      </w:tr>
      <w:tr>
        <w:tc>
          <w:tcPr/>
          <w:p>
            <w:pPr>
              <w:pStyle w:val="Compact"/>
              <w:jc w:val="left"/>
            </w:pPr>
            <w:r>
              <w:t xml:space="preserve">Currency</w:t>
            </w:r>
          </w:p>
        </w:tc>
        <w:tc>
          <w:tcPr/>
          <w:p>
            <w:pPr>
              <w:pStyle w:val="Compact"/>
              <w:jc w:val="left"/>
            </w:pPr>
            <w:r>
              <w:t xml:space="preserve">Euro (EUR)</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Meridian Advisory &amp; Consulting GmbH to provide a comprehensive and transparent cost breakdown for the engagement of a qualified</w:t>
      </w:r>
      <w:r>
        <w:t xml:space="preserve"> </w:t>
      </w:r>
      <w:r>
        <w:t xml:space="preserve">Financial Analyst</w:t>
      </w:r>
      <w:r>
        <w:t xml:space="preserve"> </w:t>
      </w:r>
      <w:r>
        <w:t xml:space="preserve">to support the client's operations within</w:t>
      </w:r>
      <w:r>
        <w:t xml:space="preserve"> </w:t>
      </w:r>
      <w:r>
        <w:t xml:space="preserve">Germany Berlin</w:t>
      </w:r>
      <w:r>
        <w:t xml:space="preserve">. The scope of work outlined herein covers the full spectrum of financial analysis services, including but not limited to financial modelling, variance analysis, budgeting and forecasting, investment appraisal, and the preparation of management reporting packages. All services will be delivered in accordance with the professional standards expected in the</w:t>
      </w:r>
      <w:r>
        <w:t xml:space="preserve"> </w:t>
      </w:r>
      <w:r>
        <w:t xml:space="preserve">Germany Berlin</w:t>
      </w:r>
      <w:r>
        <w:t xml:space="preserve"> </w:t>
      </w:r>
      <w:r>
        <w:t xml:space="preserve">business environment and in compliance with applicable German commercial law (HGB) and international reporting frameworks (IFRS).</w:t>
      </w:r>
    </w:p>
    <w:p>
      <w:pPr>
        <w:pStyle w:val="BodyText"/>
      </w:pPr>
      <w:r>
        <w:t xml:space="preserve">2. Detailed Line Items – Financial Analyst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onboarding, and integration of a Senior Financial Analyst into the client's team in Germany Berlin</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Monthly financial reporting and variance analysis (P&amp;L, Balance Sheet, Cash Flow)</w:t>
            </w:r>
          </w:p>
        </w:tc>
        <w:tc>
          <w:tcPr/>
          <w:p>
            <w:pPr>
              <w:pStyle w:val="Compact"/>
              <w:jc w:val="left"/>
            </w:pPr>
            <w:r>
              <w:t xml:space="preserve">6 months</w:t>
            </w:r>
          </w:p>
        </w:tc>
        <w:tc>
          <w:tcPr/>
          <w:p>
            <w:pPr>
              <w:pStyle w:val="Compact"/>
              <w:jc w:val="left"/>
            </w:pPr>
            <w:r>
              <w:t xml:space="preserve">6,800.00/mo</w:t>
            </w:r>
          </w:p>
        </w:tc>
        <w:tc>
          <w:tcPr/>
          <w:p>
            <w:pPr>
              <w:pStyle w:val="Compact"/>
              <w:jc w:val="left"/>
            </w:pPr>
            <w:r>
              <w:t xml:space="preserve">40,800.00</w:t>
            </w:r>
          </w:p>
        </w:tc>
        <w:tc>
          <w:tcPr/>
          <w:p>
            <w:pPr>
              <w:pStyle w:val="Compact"/>
              <w:jc w:val="left"/>
            </w:pPr>
            <w:r>
              <w:t xml:space="preserve">Recurring</w:t>
            </w:r>
          </w:p>
        </w:tc>
      </w:tr>
      <w:tr>
        <w:tc>
          <w:tcPr/>
          <w:p>
            <w:pPr>
              <w:pStyle w:val="Compact"/>
              <w:jc w:val="left"/>
            </w:pPr>
            <w:r>
              <w:t xml:space="preserve">3</w:t>
            </w:r>
          </w:p>
        </w:tc>
        <w:tc>
          <w:tcPr/>
          <w:p>
            <w:pPr>
              <w:pStyle w:val="Compact"/>
              <w:jc w:val="left"/>
            </w:pPr>
            <w:r>
              <w:t xml:space="preserve">Development and maintenance of financial models for budgeting and forecasting</w:t>
            </w:r>
          </w:p>
        </w:tc>
        <w:tc>
          <w:tcPr/>
          <w:p>
            <w:pPr>
              <w:pStyle w:val="Compact"/>
              <w:jc w:val="left"/>
            </w:pPr>
            <w:r>
              <w:t xml:space="preserve">3 months</w:t>
            </w:r>
          </w:p>
        </w:tc>
        <w:tc>
          <w:tcPr/>
          <w:p>
            <w:pPr>
              <w:pStyle w:val="Compact"/>
              <w:jc w:val="left"/>
            </w:pPr>
            <w:r>
              <w:t xml:space="preserve">8,200.00/mo</w:t>
            </w:r>
          </w:p>
        </w:tc>
        <w:tc>
          <w:tcPr/>
          <w:p>
            <w:pPr>
              <w:pStyle w:val="Compact"/>
              <w:jc w:val="left"/>
            </w:pPr>
            <w:r>
              <w:t xml:space="preserve">24,600.00</w:t>
            </w:r>
          </w:p>
        </w:tc>
        <w:tc>
          <w:tcPr/>
          <w:p>
            <w:pPr>
              <w:pStyle w:val="Compact"/>
              <w:jc w:val="left"/>
            </w:pPr>
            <w:r>
              <w:t xml:space="preserve">Project-based</w:t>
            </w:r>
          </w:p>
        </w:tc>
      </w:tr>
      <w:tr>
        <w:tc>
          <w:tcPr/>
          <w:p>
            <w:pPr>
              <w:pStyle w:val="Compact"/>
              <w:jc w:val="left"/>
            </w:pPr>
            <w:r>
              <w:t xml:space="preserve">4</w:t>
            </w:r>
          </w:p>
        </w:tc>
        <w:tc>
          <w:tcPr/>
          <w:p>
            <w:pPr>
              <w:pStyle w:val="Compact"/>
              <w:jc w:val="left"/>
            </w:pPr>
            <w:r>
              <w:t xml:space="preserve">Investment appraisal and capital allocation analysis for strategic projects in the Berlin market</w:t>
            </w:r>
          </w:p>
        </w:tc>
        <w:tc>
          <w:tcPr/>
          <w:p>
            <w:pPr>
              <w:pStyle w:val="Compact"/>
              <w:jc w:val="left"/>
            </w:pPr>
            <w:r>
              <w:t xml:space="preserve">2 months</w:t>
            </w:r>
          </w:p>
        </w:tc>
        <w:tc>
          <w:tcPr/>
          <w:p>
            <w:pPr>
              <w:pStyle w:val="Compact"/>
              <w:jc w:val="left"/>
            </w:pPr>
            <w:r>
              <w:t xml:space="preserve">7,500.00/mo</w:t>
            </w:r>
          </w:p>
        </w:tc>
        <w:tc>
          <w:tcPr/>
          <w:p>
            <w:pPr>
              <w:pStyle w:val="Compact"/>
              <w:jc w:val="left"/>
            </w:pPr>
            <w:r>
              <w:t xml:space="preserve">15,000.00</w:t>
            </w:r>
          </w:p>
        </w:tc>
        <w:tc>
          <w:tcPr/>
          <w:p>
            <w:pPr>
              <w:pStyle w:val="Compact"/>
              <w:jc w:val="left"/>
            </w:pPr>
            <w:r>
              <w:t xml:space="preserve">Project-based</w:t>
            </w:r>
          </w:p>
        </w:tc>
      </w:tr>
      <w:tr>
        <w:tc>
          <w:tcPr/>
          <w:p>
            <w:pPr>
              <w:pStyle w:val="Compact"/>
              <w:jc w:val="left"/>
            </w:pPr>
            <w:r>
              <w:t xml:space="preserve">5</w:t>
            </w:r>
          </w:p>
        </w:tc>
        <w:tc>
          <w:tcPr/>
          <w:p>
            <w:pPr>
              <w:pStyle w:val="Compact"/>
              <w:jc w:val="left"/>
            </w:pPr>
            <w:r>
              <w:t xml:space="preserve">Ad-hoc financial analysis, ad-hoc reporting, and executive presentation support</w:t>
            </w:r>
          </w:p>
        </w:tc>
        <w:tc>
          <w:tcPr/>
          <w:p>
            <w:pPr>
              <w:pStyle w:val="Compact"/>
              <w:jc w:val="left"/>
            </w:pPr>
            <w:r>
              <w:t xml:space="preserve">6 months</w:t>
            </w:r>
          </w:p>
        </w:tc>
        <w:tc>
          <w:tcPr/>
          <w:p>
            <w:pPr>
              <w:pStyle w:val="Compact"/>
              <w:jc w:val="left"/>
            </w:pPr>
            <w:r>
              <w:t xml:space="preserve">2,400.00/mo</w:t>
            </w:r>
          </w:p>
        </w:tc>
        <w:tc>
          <w:tcPr/>
          <w:p>
            <w:pPr>
              <w:pStyle w:val="Compact"/>
              <w:jc w:val="left"/>
            </w:pPr>
            <w:r>
              <w:t xml:space="preserve">14,400.00</w:t>
            </w:r>
          </w:p>
        </w:tc>
        <w:tc>
          <w:tcPr/>
          <w:p>
            <w:pPr>
              <w:pStyle w:val="Compact"/>
              <w:jc w:val="left"/>
            </w:pPr>
            <w:r>
              <w:t xml:space="preserve">Recurring</w:t>
            </w:r>
          </w:p>
        </w:tc>
      </w:tr>
      <w:tr>
        <w:tc>
          <w:tcPr/>
          <w:p>
            <w:pPr>
              <w:pStyle w:val="Compact"/>
              <w:jc w:val="left"/>
            </w:pPr>
            <w:r>
              <w:t xml:space="preserve">6</w:t>
            </w:r>
          </w:p>
        </w:tc>
        <w:tc>
          <w:tcPr/>
          <w:p>
            <w:pPr>
              <w:pStyle w:val="Compact"/>
              <w:jc w:val="left"/>
            </w:pPr>
            <w:r>
              <w:t xml:space="preserve">Compliance review and alignment with German tax regulations and Berlin municipal reporting requirements</w:t>
            </w:r>
          </w:p>
        </w:tc>
        <w:tc>
          <w:tcPr/>
          <w:p>
            <w:pPr>
              <w:pStyle w:val="Compact"/>
              <w:jc w:val="left"/>
            </w:pPr>
            <w:r>
              <w:t xml:space="preserve">1 month</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One-time fee</w:t>
            </w:r>
          </w:p>
        </w:tc>
      </w:tr>
      <w:tr>
        <w:tc>
          <w:tcPr/>
          <w:p>
            <w:pPr>
              <w:pStyle w:val="Compact"/>
              <w:jc w:val="left"/>
            </w:pPr>
            <w:r>
              <w:t xml:space="preserve">7</w:t>
            </w:r>
          </w:p>
        </w:tc>
        <w:tc>
          <w:tcPr/>
          <w:p>
            <w:pPr>
              <w:pStyle w:val="Compact"/>
              <w:jc w:val="left"/>
            </w:pPr>
            <w:r>
              <w:t xml:space="preserve">Knowledge transfer, documentation, and handover upon completion of the Financial Analyst engagement</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One-time fee</w:t>
            </w:r>
          </w:p>
        </w:tc>
      </w:tr>
      <w:tr>
        <w:tc>
          <w:tcPr>
            <w:gridSpan w:val="4"/>
          </w:tcPr>
          <w:p>
            <w:pPr>
              <w:pStyle w:val="Compact"/>
              <w:jc w:val="left"/>
            </w:pPr>
            <w:r>
              <w:t xml:space="preserve">Subtotal</w:t>
            </w:r>
          </w:p>
        </w:tc>
        <w:tc>
          <w:tcPr/>
          <w:p>
            <w:pPr>
              <w:pStyle w:val="Compact"/>
              <w:jc w:val="left"/>
            </w:pPr>
            <w:r>
              <w:t xml:space="preserve">115,800.00</w:t>
            </w:r>
          </w:p>
        </w:tc>
        <w:tc>
          <w:tcPr/>
          <w:p>
            <w:pPr>
              <w:pStyle w:val="Compact"/>
            </w:pPr>
          </w:p>
        </w:tc>
      </w:tr>
      <w:tr>
        <w:tc>
          <w:tcPr>
            <w:gridSpan w:val="4"/>
          </w:tcPr>
          <w:p>
            <w:pPr>
              <w:pStyle w:val="Compact"/>
              <w:jc w:val="left"/>
            </w:pPr>
            <w:r>
              <w:t xml:space="preserve">VAT (Mehrwertsteuer) – 19% (Germany)</w:t>
            </w:r>
          </w:p>
        </w:tc>
        <w:tc>
          <w:tcPr/>
          <w:p>
            <w:pPr>
              <w:pStyle w:val="Compact"/>
              <w:jc w:val="left"/>
            </w:pPr>
            <w:r>
              <w:t xml:space="preserve">22,002.00</w:t>
            </w:r>
          </w:p>
        </w:tc>
        <w:tc>
          <w:tcPr/>
          <w:p>
            <w:pPr>
              <w:pStyle w:val="Compact"/>
            </w:pPr>
          </w:p>
        </w:tc>
      </w:tr>
      <w:tr>
        <w:tc>
          <w:tcPr>
            <w:gridSpan w:val="4"/>
          </w:tcPr>
          <w:p>
            <w:pPr>
              <w:pStyle w:val="Compact"/>
              <w:jc w:val="left"/>
            </w:pPr>
            <w:r>
              <w:t xml:space="preserve">TOTAL AMOUNT DUE (EUR)</w:t>
            </w:r>
          </w:p>
        </w:tc>
        <w:tc>
          <w:tcPr/>
          <w:p>
            <w:pPr>
              <w:pStyle w:val="Compact"/>
              <w:jc w:val="left"/>
            </w:pPr>
            <w:r>
              <w:t xml:space="preserve">137,802.00</w:t>
            </w:r>
          </w:p>
        </w:tc>
        <w:tc>
          <w:tcPr/>
          <w:p>
            <w:pPr>
              <w:pStyle w:val="Compact"/>
            </w:pP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the expiry date, all rates and conditions are subject to revision without prior notice.</w:t>
      </w:r>
    </w:p>
    <w:p>
      <w:pPr>
        <w:numPr>
          <w:ilvl w:val="0"/>
          <w:numId w:val="1001"/>
        </w:numPr>
        <w:pStyle w:val="Compact"/>
      </w:pPr>
      <w:r>
        <w:rPr>
          <w:bCs/>
          <w:b/>
        </w:rPr>
        <w:t xml:space="preserve">Payment Terms:</w:t>
      </w:r>
      <w:r>
        <w:t xml:space="preserve"> </w:t>
      </w:r>
      <w:r>
        <w:t xml:space="preserve">Invoices shall be settled within fourteen (14) days of the invoice date via bank transfer to the account of Meridian Advisory &amp; Consulting GmbH, IBAN: DE89 3704 0044 0532 0130 00, BIC: COBADEFFXXX, Berlin, Germany. Late payments shall incur interest at the statutory rate under § 288 BGB.</w:t>
      </w:r>
    </w:p>
    <w:p>
      <w:pPr>
        <w:numPr>
          <w:ilvl w:val="0"/>
          <w:numId w:val="1001"/>
        </w:numPr>
        <w:pStyle w:val="Compact"/>
      </w:pPr>
      <w:r>
        <w:rPr>
          <w:bCs/>
          <w:b/>
        </w:rPr>
        <w:t xml:space="preserve">Scope Changes:</w:t>
      </w:r>
      <w:r>
        <w:t xml:space="preserve"> </w:t>
      </w:r>
      <w:r>
        <w:t xml:space="preserve">Any modification to the scope of the Financial Analyst engagement beyond the services described in Section 2 shall require a written amendment to this Quotation Estimate, signed by both parties, before additional work commences.</w:t>
      </w:r>
    </w:p>
    <w:p>
      <w:pPr>
        <w:numPr>
          <w:ilvl w:val="0"/>
          <w:numId w:val="1001"/>
        </w:numPr>
        <w:pStyle w:val="Compact"/>
      </w:pPr>
      <w:r>
        <w:rPr>
          <w:bCs/>
          <w:b/>
        </w:rPr>
        <w:t xml:space="preserve">Confidentiality:</w:t>
      </w:r>
      <w:r>
        <w:t xml:space="preserve"> </w:t>
      </w:r>
      <w:r>
        <w:t xml:space="preserve">The Financial Analyst and all supporting personnel shall be bound by a strict Non-Disclosure Agreement (NDA) in accordance with German data protection law (DSGVO / GDPR). All financial data processed in Germany Berlin shall be stored on servers located within the European Union.</w:t>
      </w:r>
    </w:p>
    <w:p>
      <w:pPr>
        <w:numPr>
          <w:ilvl w:val="0"/>
          <w:numId w:val="1001"/>
        </w:numPr>
        <w:pStyle w:val="Compact"/>
      </w:pPr>
      <w:r>
        <w:rPr>
          <w:bCs/>
          <w:b/>
        </w:rPr>
        <w:t xml:space="preserve">Intellectual Property:</w:t>
      </w:r>
      <w:r>
        <w:t xml:space="preserve"> </w:t>
      </w:r>
      <w:r>
        <w:t xml:space="preserve">All deliverables, models, reports, and analyses produced by the Financial Analyst during the term of this engagement shall become the exclusive property of the client upon full payment of the corresponding invoice.</w:t>
      </w:r>
    </w:p>
    <w:p>
      <w:pPr>
        <w:numPr>
          <w:ilvl w:val="0"/>
          <w:numId w:val="1001"/>
        </w:numPr>
        <w:pStyle w:val="Compact"/>
      </w:pPr>
      <w:r>
        <w:rPr>
          <w:bCs/>
          <w:b/>
        </w:rPr>
        <w:t xml:space="preserve">Termination:</w:t>
      </w:r>
      <w:r>
        <w:t xml:space="preserve"> </w:t>
      </w:r>
      <w:r>
        <w:t xml:space="preserve">Either party may terminate the engagement with a written notice period of thirty (30) days. In the event of early termination, the client shall be liable for all services rendered up to the effective date of termination.</w:t>
      </w:r>
    </w:p>
    <w:p>
      <w:pPr>
        <w:numPr>
          <w:ilvl w:val="0"/>
          <w:numId w:val="1001"/>
        </w:numPr>
        <w:pStyle w:val="Compact"/>
      </w:pPr>
      <w:r>
        <w:rPr>
          <w:bCs/>
          <w:b/>
        </w:rPr>
        <w:t xml:space="preserve">Governing Law and Jurisdiction:</w:t>
      </w:r>
      <w:r>
        <w:t xml:space="preserve"> </w:t>
      </w:r>
      <w:r>
        <w:t xml:space="preserve">This Quotation Estimate and any resulting contract shall be governed by the laws of the Federal Republic of Germany. Exclusive jurisdiction for any disputes shall lie with the competent courts in Berlin,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pandemics, or government-mandated restrictions affecting operations in Germany Berlin.</w:t>
      </w:r>
    </w:p>
    <w:p>
      <w:pPr>
        <w:pStyle w:val="FirstParagraph"/>
      </w:pPr>
      <w:r>
        <w:t xml:space="preserve">4. Acceptance</w:t>
      </w:r>
    </w:p>
    <w:p>
      <w:pPr>
        <w:pStyle w:val="BodyText"/>
      </w:pPr>
      <w:r>
        <w:t xml:space="preserve">By signing below, the client acknowledges receipt of this Quotation Estimate and agrees to the terms, conditions, and pricing outlined herein for the engagement of the Financial Analyst in Germany Berlin. This acceptance constitutes a binding order for the services described.</w:t>
      </w:r>
    </w:p>
    <w:p>
      <w:pPr>
        <w:pStyle w:val="BodyText"/>
      </w:pPr>
      <w:r>
        <w:rPr>
          <w:bCs/>
          <w:b/>
        </w:rPr>
        <w:t xml:space="preserve">For Meridian Advisory &amp; Consulting GmbH</w:t>
      </w:r>
      <w:r>
        <w:br/>
      </w:r>
      <w:r>
        <w:t xml:space="preserve">Name: Dr. Katharina Weber</w:t>
      </w:r>
      <w:r>
        <w:br/>
      </w:r>
      <w:r>
        <w:t xml:space="preserve">Title: Managing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Meridian Advisory &amp; Consulting GmbH · Friedrichstraße 183, 10117 Berlin, Germany · HRB 123456 B, Amtsgericht Charlottenburg</w:t>
      </w:r>
    </w:p>
    <w:p>
      <w:pPr>
        <w:pStyle w:val="BodyText"/>
      </w:pPr>
      <w:r>
        <w:t xml:space="preserve">USt-IdNr.: DE312345678 · This Quotation Estimate is a commercial document and does not constitute a legally binding contract until countersigned by both parties.</w:t>
      </w:r>
    </w:p>
    <w:p>
      <w:pPr>
        <w:pStyle w:val="BodyText"/>
      </w:pPr>
      <w:r>
        <w:t xml:space="preserve">Document Reference: QE-2025-BER-0472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Germany Berlin</dc:title>
  <dc:creator/>
  <dc:language>en</dc:language>
  <cp:keywords/>
  <dcterms:created xsi:type="dcterms:W3CDTF">2026-10-10T02:30:20Z</dcterms:created>
  <dcterms:modified xsi:type="dcterms:W3CDTF">2026-10-10T02:30:20Z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