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Financial</w:t>
      </w:r>
      <w:r>
        <w:t xml:space="preserve"> </w:t>
      </w:r>
      <w:r>
        <w:t xml:space="preserve">Analyst</w:t>
      </w:r>
      <w:r>
        <w:t xml:space="preserve"> </w:t>
      </w:r>
      <w:r>
        <w:t xml:space="preserve">-</w:t>
      </w:r>
      <w:r>
        <w:t xml:space="preserve"> </w:t>
      </w:r>
      <w:r>
        <w:t xml:space="preserve">Germany</w:t>
      </w:r>
      <w:r>
        <w:t xml:space="preserve"> </w:t>
      </w:r>
      <w:r>
        <w:t xml:space="preserve">Frankfurt</w:t>
      </w:r>
    </w:p>
    <w:bookmarkStart w:id="20" w:name="meridian-advisory-partners-gmbh"/>
    <w:p>
      <w:pPr>
        <w:pStyle w:val="Heading1"/>
      </w:pPr>
      <w:r>
        <w:t xml:space="preserve">Meridian Advisory Partners GmbH</w:t>
      </w:r>
    </w:p>
    <w:p>
      <w:pPr>
        <w:pStyle w:val="FirstParagraph"/>
      </w:pPr>
      <w:r>
        <w:t xml:space="preserve">Frankfurter Allee 142, 10405 Berlin, Germany</w:t>
      </w:r>
    </w:p>
    <w:p>
      <w:pPr>
        <w:pStyle w:val="BodyText"/>
      </w:pPr>
      <w:r>
        <w:t xml:space="preserve">Tel: +49 30 5556 7890 | Email: quotations@meridian-advisory.de</w:t>
      </w:r>
    </w:p>
    <w:p>
      <w:pPr>
        <w:pStyle w:val="BodyText"/>
      </w:pPr>
      <w:r>
        <w:t xml:space="preserve">USt-IdNr: DE 312 456 789</w:t>
      </w:r>
    </w:p>
    <w:bookmarkEnd w:id="20"/>
    <w:bookmarkStart w:id="21" w:name="quotation-estimate"/>
    <w:p>
      <w:pPr>
        <w:pStyle w:val="Heading2"/>
      </w:pPr>
      <w:r>
        <w:t xml:space="preserve">QUOTATION ESTIMATE</w:t>
      </w:r>
    </w:p>
    <w:p>
      <w:pPr>
        <w:pStyle w:val="FirstParagraph"/>
      </w:pPr>
      <w:r>
        <w:t xml:space="preserve">Ref: QTE-2025-FA-0487</w:t>
      </w:r>
    </w:p>
    <w:p>
      <w:pPr>
        <w:pStyle w:val="BodyText"/>
      </w:pPr>
      <w:r>
        <w:t xml:space="preserve">Date: 14 June 2025</w:t>
      </w:r>
    </w:p>
    <w:p>
      <w:pPr>
        <w:pStyle w:val="BodyText"/>
      </w:pPr>
      <w:r>
        <w:t xml:space="preserve">Valid Until: 14 July 2025</w:t>
      </w:r>
    </w:p>
    <w:bookmarkEnd w:id="21"/>
    <w:bookmarkStart w:id="22" w:name="quotation-estimate-overview"/>
    <w:p>
      <w:pPr>
        <w:pStyle w:val="Heading3"/>
      </w:pPr>
      <w:r>
        <w:t xml:space="preserve">1. Quotation Estimate Overview</w:t>
      </w:r>
    </w:p>
    <w:p>
      <w:pPr>
        <w:pStyle w:val="FirstParagraph"/>
      </w:pPr>
      <w:r>
        <w:t xml:space="preserve">This</w:t>
      </w:r>
      <w:r>
        <w:t xml:space="preserve"> </w:t>
      </w:r>
      <w:r>
        <w:t xml:space="preserve">Quotation Estimate</w:t>
      </w:r>
      <w:r>
        <w:t xml:space="preserve"> </w:t>
      </w:r>
      <w:r>
        <w:t xml:space="preserve">is issued by Meridian Advisory Partners GmbH in response to the formal request for professional financial analysis services. The scope of this engagement centres on the provision of a dedicated</w:t>
      </w:r>
      <w:r>
        <w:t xml:space="preserve"> </w:t>
      </w:r>
      <w:r>
        <w:t xml:space="preserve">Financial Analyst</w:t>
      </w:r>
      <w:r>
        <w:t xml:space="preserve"> </w:t>
      </w:r>
      <w:r>
        <w:t xml:space="preserve">to support the client's operations within the</w:t>
      </w:r>
      <w:r>
        <w:t xml:space="preserve"> </w:t>
      </w:r>
      <w:r>
        <w:t xml:space="preserve">Germany Frankfurt</w:t>
      </w:r>
      <w:r>
        <w:t xml:space="preserve"> </w:t>
      </w:r>
      <w:r>
        <w:t xml:space="preserve">financial district. This document outlines the complete cost structure, deliverables, timelines, and contractual terms governing the proposed engagement. All figures presented in this</w:t>
      </w:r>
      <w:r>
        <w:t xml:space="preserve"> </w:t>
      </w:r>
      <w:r>
        <w:t xml:space="preserve">Quotation Estimate</w:t>
      </w:r>
      <w:r>
        <w:t xml:space="preserve"> </w:t>
      </w:r>
      <w:r>
        <w:t xml:space="preserve">are denominated in Euro (EUR) and are subject to the applicable German value-added tax (VAT) of 19 percent unless otherwise stated.</w:t>
      </w:r>
    </w:p>
    <w:bookmarkEnd w:id="22"/>
    <w:bookmarkStart w:id="23" w:name="client-information"/>
    <w:p>
      <w:pPr>
        <w:pStyle w:val="Heading3"/>
      </w:pPr>
      <w:r>
        <w:t xml:space="preserve">2. Client Information</w:t>
      </w:r>
    </w:p>
    <w:p>
      <w:pPr>
        <w:pStyle w:val="FirstParagraph"/>
      </w:pPr>
      <w:r>
        <w:t xml:space="preserve">Client Name</w:t>
      </w:r>
    </w:p>
    <w:p>
      <w:pPr>
        <w:pStyle w:val="BodyText"/>
      </w:pPr>
      <w:r>
        <w:t xml:space="preserve">Deutsche Kapitalverwaltung AG</w:t>
      </w:r>
    </w:p>
    <w:p>
      <w:pPr>
        <w:pStyle w:val="BodyText"/>
      </w:pPr>
      <w:r>
        <w:t xml:space="preserve">Client Address</w:t>
      </w:r>
    </w:p>
    <w:p>
      <w:pPr>
        <w:pStyle w:val="BodyText"/>
      </w:pPr>
      <w:r>
        <w:t xml:space="preserve">Mainzer Landstraße 55, 60329 Frankfurt am Main, Germany</w:t>
      </w:r>
    </w:p>
    <w:p>
      <w:pPr>
        <w:pStyle w:val="BodyText"/>
      </w:pPr>
      <w:r>
        <w:t xml:space="preserve">Primary Contact</w:t>
      </w:r>
    </w:p>
    <w:p>
      <w:pPr>
        <w:pStyle w:val="BodyText"/>
      </w:pPr>
      <w:r>
        <w:t xml:space="preserve">Dr. Heinrich Vogel, Head of Financial Planning</w:t>
      </w:r>
    </w:p>
    <w:p>
      <w:pPr>
        <w:pStyle w:val="BodyText"/>
      </w:pPr>
      <w:r>
        <w:t xml:space="preserve">Engagement Location</w:t>
      </w:r>
    </w:p>
    <w:p>
      <w:pPr>
        <w:pStyle w:val="BodyText"/>
      </w:pPr>
      <w:r>
        <w:t xml:space="preserve">Germany Frankfurt – Bankenviertel (Banking District)</w:t>
      </w:r>
    </w:p>
    <w:bookmarkEnd w:id="23"/>
    <w:bookmarkStart w:id="24" w:name="Xc71ca9f107dc19ad1a35be8656fe3f8577b2b82"/>
    <w:p>
      <w:pPr>
        <w:pStyle w:val="Heading3"/>
      </w:pPr>
      <w:r>
        <w:t xml:space="preserve">3. Scope of Services – Financial Analyst Engagement</w:t>
      </w:r>
    </w:p>
    <w:p>
      <w:pPr>
        <w:pStyle w:val="FirstParagraph"/>
      </w:pPr>
      <w:r>
        <w:t xml:space="preserve">The proposed</w:t>
      </w:r>
      <w:r>
        <w:t xml:space="preserve"> </w:t>
      </w:r>
      <w:r>
        <w:t xml:space="preserve">Financial Analyst</w:t>
      </w:r>
      <w:r>
        <w:t xml:space="preserve"> </w:t>
      </w:r>
      <w:r>
        <w:t xml:space="preserve">engagement is designed to deliver comprehensive financial modelling, portfolio performance analysis, regulatory compliance reporting, and strategic forecasting support. The</w:t>
      </w:r>
      <w:r>
        <w:t xml:space="preserve"> </w:t>
      </w:r>
      <w:r>
        <w:t xml:space="preserve">Financial Analyst</w:t>
      </w:r>
      <w:r>
        <w:t xml:space="preserve"> </w:t>
      </w:r>
      <w:r>
        <w:t xml:space="preserve">will be embedded within the client's existing team in</w:t>
      </w:r>
      <w:r>
        <w:t xml:space="preserve"> </w:t>
      </w:r>
      <w:r>
        <w:t xml:space="preserve">Germany Frankfurt</w:t>
      </w:r>
      <w:r>
        <w:t xml:space="preserve">, operating from the client's premises located in the Mainzer Landstraße business complex. The analyst will report directly to the Head of Financial Planning and will collaborate with the risk management, treasury, and investment committees on a weekly basis.</w:t>
      </w:r>
    </w:p>
    <w:p>
      <w:pPr>
        <w:pStyle w:val="BodyText"/>
      </w:pPr>
      <w:r>
        <w:t xml:space="preserve">Key responsibilities of the</w:t>
      </w:r>
      <w:r>
        <w:t xml:space="preserve"> </w:t>
      </w:r>
      <w:r>
        <w:t xml:space="preserve">Financial Analyst</w:t>
      </w:r>
      <w:r>
        <w:t xml:space="preserve"> </w:t>
      </w:r>
      <w:r>
        <w:t xml:space="preserve">include but are not limited to: preparation of monthly and quarterly financial statements in accordance with IFRS and German Commercial Code (HGB) requirements; development of discounted cash flow (DCF) models for capital allocation decisions; monitoring of market movements across DAX, Euro Stoxx 50, and fixed-income instruments; generation of ad-hoc analytical reports for the executive board; and support in the preparation of BaFin regulatory filings. The</w:t>
      </w:r>
      <w:r>
        <w:t xml:space="preserve"> </w:t>
      </w:r>
      <w:r>
        <w:t xml:space="preserve">Financial Analyst</w:t>
      </w:r>
      <w:r>
        <w:t xml:space="preserve"> </w:t>
      </w:r>
      <w:r>
        <w:t xml:space="preserve">will also be responsible for maintaining the internal financial data warehouse and ensuring data integrity across all reporting systems deployed in the</w:t>
      </w:r>
      <w:r>
        <w:t xml:space="preserve"> </w:t>
      </w:r>
      <w:r>
        <w:t xml:space="preserve">Germany Frankfurt</w:t>
      </w:r>
      <w:r>
        <w:t xml:space="preserve"> </w:t>
      </w:r>
      <w:r>
        <w:t xml:space="preserve">office.</w:t>
      </w:r>
    </w:p>
    <w:bookmarkEnd w:id="24"/>
    <w:bookmarkStart w:id="25" w:name="detailed-cost-breakdown"/>
    <w:p>
      <w:pPr>
        <w:pStyle w:val="Heading3"/>
      </w:pPr>
      <w:r>
        <w:t xml:space="preserve">4. Detailed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Duration</w:t>
            </w:r>
          </w:p>
        </w:tc>
        <w:tc>
          <w:tcPr/>
          <w:p>
            <w:pPr>
              <w:pStyle w:val="Compact"/>
              <w:jc w:val="left"/>
            </w:pPr>
            <w:r>
              <w:t xml:space="preserve">Rate (EUR)</w:t>
            </w:r>
          </w:p>
        </w:tc>
        <w:tc>
          <w:tcPr/>
          <w:p>
            <w:pPr>
              <w:pStyle w:val="Compact"/>
              <w:jc w:val="left"/>
            </w:pPr>
            <w:r>
              <w:t xml:space="preserve">Amount (EUR)</w:t>
            </w:r>
          </w:p>
        </w:tc>
      </w:tr>
      <w:tr>
        <w:tc>
          <w:tcPr/>
          <w:p>
            <w:pPr>
              <w:pStyle w:val="Compact"/>
              <w:jc w:val="left"/>
            </w:pPr>
            <w:r>
              <w:t xml:space="preserve">01</w:t>
            </w:r>
          </w:p>
        </w:tc>
        <w:tc>
          <w:tcPr/>
          <w:p>
            <w:pPr>
              <w:pStyle w:val="Compact"/>
              <w:jc w:val="left"/>
            </w:pPr>
            <w:r>
              <w:t xml:space="preserve">Senior Financial Analyst – Monthly Retainer (40 hrs/week, on-site in Germany Frankfurt)</w:t>
            </w:r>
          </w:p>
        </w:tc>
        <w:tc>
          <w:tcPr/>
          <w:p>
            <w:pPr>
              <w:pStyle w:val="Compact"/>
              <w:jc w:val="left"/>
            </w:pPr>
            <w:r>
              <w:t xml:space="preserve">12 months</w:t>
            </w:r>
          </w:p>
        </w:tc>
        <w:tc>
          <w:tcPr/>
          <w:p>
            <w:pPr>
              <w:pStyle w:val="Compact"/>
              <w:jc w:val="left"/>
            </w:pPr>
            <w:r>
              <w:t xml:space="preserve">8,500.00 / month</w:t>
            </w:r>
          </w:p>
        </w:tc>
        <w:tc>
          <w:tcPr/>
          <w:p>
            <w:pPr>
              <w:pStyle w:val="Compact"/>
              <w:jc w:val="left"/>
            </w:pPr>
            <w:r>
              <w:t xml:space="preserve">102,000.00</w:t>
            </w:r>
          </w:p>
        </w:tc>
      </w:tr>
      <w:tr>
        <w:tc>
          <w:tcPr/>
          <w:p>
            <w:pPr>
              <w:pStyle w:val="Compact"/>
              <w:jc w:val="left"/>
            </w:pPr>
            <w:r>
              <w:t xml:space="preserve">02</w:t>
            </w:r>
          </w:p>
        </w:tc>
        <w:tc>
          <w:tcPr/>
          <w:p>
            <w:pPr>
              <w:pStyle w:val="Compact"/>
              <w:jc w:val="left"/>
            </w:pPr>
            <w:r>
              <w:t xml:space="preserve">Financial Modelling &amp; Valuation Support (DCF, LBO, Comparable Analysis)</w:t>
            </w:r>
          </w:p>
        </w:tc>
        <w:tc>
          <w:tcPr/>
          <w:p>
            <w:pPr>
              <w:pStyle w:val="Compact"/>
              <w:jc w:val="left"/>
            </w:pPr>
            <w:r>
              <w:t xml:space="preserve">12 months</w:t>
            </w:r>
          </w:p>
        </w:tc>
        <w:tc>
          <w:tcPr/>
          <w:p>
            <w:pPr>
              <w:pStyle w:val="Compact"/>
              <w:jc w:val="left"/>
            </w:pPr>
            <w:r>
              <w:t xml:space="preserve">1,200.00 / month</w:t>
            </w:r>
          </w:p>
        </w:tc>
        <w:tc>
          <w:tcPr/>
          <w:p>
            <w:pPr>
              <w:pStyle w:val="Compact"/>
              <w:jc w:val="left"/>
            </w:pPr>
            <w:r>
              <w:t xml:space="preserve">14,400.00</w:t>
            </w:r>
          </w:p>
        </w:tc>
      </w:tr>
      <w:tr>
        <w:tc>
          <w:tcPr/>
          <w:p>
            <w:pPr>
              <w:pStyle w:val="Compact"/>
              <w:jc w:val="left"/>
            </w:pPr>
            <w:r>
              <w:t xml:space="preserve">03</w:t>
            </w:r>
          </w:p>
        </w:tc>
        <w:tc>
          <w:tcPr/>
          <w:p>
            <w:pPr>
              <w:pStyle w:val="Compact"/>
              <w:jc w:val="left"/>
            </w:pPr>
            <w:r>
              <w:t xml:space="preserve">Regulatory Reporting &amp; BaFin Compliance Assistance</w:t>
            </w:r>
          </w:p>
        </w:tc>
        <w:tc>
          <w:tcPr/>
          <w:p>
            <w:pPr>
              <w:pStyle w:val="Compact"/>
              <w:jc w:val="left"/>
            </w:pPr>
            <w:r>
              <w:t xml:space="preserve">12 months</w:t>
            </w:r>
          </w:p>
        </w:tc>
        <w:tc>
          <w:tcPr/>
          <w:p>
            <w:pPr>
              <w:pStyle w:val="Compact"/>
              <w:jc w:val="left"/>
            </w:pPr>
            <w:r>
              <w:t xml:space="preserve">950.00 / month</w:t>
            </w:r>
          </w:p>
        </w:tc>
        <w:tc>
          <w:tcPr/>
          <w:p>
            <w:pPr>
              <w:pStyle w:val="Compact"/>
              <w:jc w:val="left"/>
            </w:pPr>
            <w:r>
              <w:t xml:space="preserve">11,400.00</w:t>
            </w:r>
          </w:p>
        </w:tc>
      </w:tr>
      <w:tr>
        <w:tc>
          <w:tcPr/>
          <w:p>
            <w:pPr>
              <w:pStyle w:val="Compact"/>
              <w:jc w:val="left"/>
            </w:pPr>
            <w:r>
              <w:t xml:space="preserve">04</w:t>
            </w:r>
          </w:p>
        </w:tc>
        <w:tc>
          <w:tcPr/>
          <w:p>
            <w:pPr>
              <w:pStyle w:val="Compact"/>
              <w:jc w:val="left"/>
            </w:pPr>
            <w:r>
              <w:t xml:space="preserve">Market Research &amp; Competitor Benchmarking (Germany Frankfurt financial sector)</w:t>
            </w:r>
          </w:p>
        </w:tc>
        <w:tc>
          <w:tcPr/>
          <w:p>
            <w:pPr>
              <w:pStyle w:val="Compact"/>
              <w:jc w:val="left"/>
            </w:pPr>
            <w:r>
              <w:t xml:space="preserve">12 months</w:t>
            </w:r>
          </w:p>
        </w:tc>
        <w:tc>
          <w:tcPr/>
          <w:p>
            <w:pPr>
              <w:pStyle w:val="Compact"/>
              <w:jc w:val="left"/>
            </w:pPr>
            <w:r>
              <w:t xml:space="preserve">780.00 / month</w:t>
            </w:r>
          </w:p>
        </w:tc>
        <w:tc>
          <w:tcPr/>
          <w:p>
            <w:pPr>
              <w:pStyle w:val="Compact"/>
              <w:jc w:val="left"/>
            </w:pPr>
            <w:r>
              <w:t xml:space="preserve">9,360.00</w:t>
            </w:r>
          </w:p>
        </w:tc>
      </w:tr>
      <w:tr>
        <w:tc>
          <w:tcPr/>
          <w:p>
            <w:pPr>
              <w:pStyle w:val="Compact"/>
              <w:jc w:val="left"/>
            </w:pPr>
            <w:r>
              <w:t xml:space="preserve">05</w:t>
            </w:r>
          </w:p>
        </w:tc>
        <w:tc>
          <w:tcPr/>
          <w:p>
            <w:pPr>
              <w:pStyle w:val="Compact"/>
              <w:jc w:val="left"/>
            </w:pPr>
            <w:r>
              <w:t xml:space="preserve">Onboarding, System Access &amp; Data Migration Setup</w:t>
            </w:r>
          </w:p>
        </w:tc>
        <w:tc>
          <w:tcPr/>
          <w:p>
            <w:pPr>
              <w:pStyle w:val="Compact"/>
              <w:jc w:val="left"/>
            </w:pPr>
            <w:r>
              <w:t xml:space="preserve">One-time</w:t>
            </w:r>
          </w:p>
        </w:tc>
        <w:tc>
          <w:tcPr/>
          <w:p>
            <w:pPr>
              <w:pStyle w:val="Compact"/>
              <w:jc w:val="left"/>
            </w:pPr>
            <w:r>
              <w:t xml:space="preserve">—</w:t>
            </w:r>
          </w:p>
        </w:tc>
        <w:tc>
          <w:tcPr/>
          <w:p>
            <w:pPr>
              <w:pStyle w:val="Compact"/>
              <w:jc w:val="left"/>
            </w:pPr>
            <w:r>
              <w:t xml:space="preserve">3,500.00</w:t>
            </w:r>
          </w:p>
        </w:tc>
      </w:tr>
      <w:tr>
        <w:tc>
          <w:tcPr/>
          <w:p>
            <w:pPr>
              <w:pStyle w:val="Compact"/>
              <w:jc w:val="left"/>
            </w:pPr>
            <w:r>
              <w:t xml:space="preserve">06</w:t>
            </w:r>
          </w:p>
        </w:tc>
        <w:tc>
          <w:tcPr/>
          <w:p>
            <w:pPr>
              <w:pStyle w:val="Compact"/>
              <w:jc w:val="left"/>
            </w:pPr>
            <w:r>
              <w:t xml:space="preserve">Quarterly Strategic Review Presentations to Executive Board</w:t>
            </w:r>
          </w:p>
        </w:tc>
        <w:tc>
          <w:tcPr/>
          <w:p>
            <w:pPr>
              <w:pStyle w:val="Compact"/>
              <w:jc w:val="left"/>
            </w:pPr>
            <w:r>
              <w:t xml:space="preserve">4 sessions</w:t>
            </w:r>
          </w:p>
        </w:tc>
        <w:tc>
          <w:tcPr/>
          <w:p>
            <w:pPr>
              <w:pStyle w:val="Compact"/>
              <w:jc w:val="left"/>
            </w:pPr>
            <w:r>
              <w:t xml:space="preserve">2,200.00 / session</w:t>
            </w:r>
          </w:p>
        </w:tc>
        <w:tc>
          <w:tcPr/>
          <w:p>
            <w:pPr>
              <w:pStyle w:val="Compact"/>
              <w:jc w:val="left"/>
            </w:pPr>
            <w:r>
              <w:t xml:space="preserve">8,800.00</w:t>
            </w:r>
          </w:p>
        </w:tc>
      </w:tr>
      <w:tr>
        <w:tc>
          <w:tcPr/>
          <w:p>
            <w:pPr>
              <w:pStyle w:val="Compact"/>
              <w:jc w:val="left"/>
            </w:pPr>
            <w:r>
              <w:t xml:space="preserve">07</w:t>
            </w:r>
          </w:p>
        </w:tc>
        <w:tc>
          <w:tcPr/>
          <w:p>
            <w:pPr>
              <w:pStyle w:val="Compact"/>
              <w:jc w:val="left"/>
            </w:pPr>
            <w:r>
              <w:t xml:space="preserve">Travel &amp; Local Transportation within Germany Frankfurt</w:t>
            </w:r>
          </w:p>
        </w:tc>
        <w:tc>
          <w:tcPr/>
          <w:p>
            <w:pPr>
              <w:pStyle w:val="Compact"/>
              <w:jc w:val="left"/>
            </w:pPr>
            <w:r>
              <w:t xml:space="preserve">12 months</w:t>
            </w:r>
          </w:p>
        </w:tc>
        <w:tc>
          <w:tcPr/>
          <w:p>
            <w:pPr>
              <w:pStyle w:val="Compact"/>
              <w:jc w:val="left"/>
            </w:pPr>
            <w:r>
              <w:t xml:space="preserve">250.00 / month</w:t>
            </w:r>
          </w:p>
        </w:tc>
        <w:tc>
          <w:tcPr/>
          <w:p>
            <w:pPr>
              <w:pStyle w:val="Compact"/>
              <w:jc w:val="left"/>
            </w:pPr>
            <w:r>
              <w:t xml:space="preserve">3,000.00</w:t>
            </w:r>
          </w:p>
        </w:tc>
      </w:tr>
      <w:tr>
        <w:tc>
          <w:tcPr>
            <w:gridSpan w:val="4"/>
          </w:tcPr>
          <w:p>
            <w:pPr>
              <w:pStyle w:val="Compact"/>
              <w:jc w:val="left"/>
            </w:pPr>
            <w:r>
              <w:t xml:space="preserve">Subtotal (excl. VAT)</w:t>
            </w:r>
          </w:p>
        </w:tc>
        <w:tc>
          <w:tcPr/>
          <w:p>
            <w:pPr>
              <w:pStyle w:val="Compact"/>
              <w:jc w:val="left"/>
            </w:pPr>
            <w:r>
              <w:t xml:space="preserve">152,460.00</w:t>
            </w:r>
          </w:p>
        </w:tc>
      </w:tr>
      <w:tr>
        <w:tc>
          <w:tcPr>
            <w:gridSpan w:val="4"/>
          </w:tcPr>
          <w:p>
            <w:pPr>
              <w:pStyle w:val="Compact"/>
              <w:jc w:val="left"/>
            </w:pPr>
            <w:r>
              <w:t xml:space="preserve">VAT (19%)</w:t>
            </w:r>
          </w:p>
        </w:tc>
        <w:tc>
          <w:tcPr/>
          <w:p>
            <w:pPr>
              <w:pStyle w:val="Compact"/>
              <w:jc w:val="left"/>
            </w:pPr>
            <w:r>
              <w:t xml:space="preserve">28,967.40</w:t>
            </w:r>
          </w:p>
        </w:tc>
      </w:tr>
      <w:tr>
        <w:tc>
          <w:tcPr>
            <w:gridSpan w:val="4"/>
          </w:tcPr>
          <w:p>
            <w:pPr>
              <w:pStyle w:val="Compact"/>
              <w:jc w:val="left"/>
            </w:pPr>
            <w:r>
              <w:t xml:space="preserve">Grand Total (incl. VAT)</w:t>
            </w:r>
          </w:p>
        </w:tc>
        <w:tc>
          <w:tcPr/>
          <w:p>
            <w:pPr>
              <w:pStyle w:val="Compact"/>
              <w:jc w:val="left"/>
            </w:pPr>
            <w:r>
              <w:t xml:space="preserve">181,427.40</w:t>
            </w:r>
          </w:p>
        </w:tc>
      </w:tr>
    </w:tbl>
    <w:bookmarkEnd w:id="25"/>
    <w:bookmarkStart w:id="26" w:name="payment-terms"/>
    <w:p>
      <w:pPr>
        <w:pStyle w:val="Heading3"/>
      </w:pPr>
      <w:r>
        <w:t xml:space="preserve">5. Payment Terms</w:t>
      </w:r>
    </w:p>
    <w:p>
      <w:pPr>
        <w:pStyle w:val="FirstParagraph"/>
      </w:pPr>
      <w:r>
        <w:t xml:space="preserve">Payment for the services outlined in this</w:t>
      </w:r>
      <w:r>
        <w:t xml:space="preserve"> </w:t>
      </w:r>
      <w:r>
        <w:t xml:space="preserve">Quotation Estimate</w:t>
      </w:r>
      <w:r>
        <w:t xml:space="preserve"> </w:t>
      </w:r>
      <w:r>
        <w:t xml:space="preserve">shall be made on a monthly basis in arrears. Invoices will be issued on the last working day of each calendar month and are payable within thirty (30) calendar days of the invoice date via SEPA bank transfer to the account of Meridian Advisory Partners GmbH. A late payment interest of 8 percent per annum above the European Central Bank reference rate shall apply to overdue amounts in accordance with Section 288 of the German Civil Code (BGB). The initial onboarding fee (Item 05) is due within fourteen (14) days of contract execution.</w:t>
      </w:r>
    </w:p>
    <w:bookmarkEnd w:id="26"/>
    <w:bookmarkStart w:id="27" w:name="terms-and-conditions"/>
    <w:p>
      <w:pPr>
        <w:pStyle w:val="Heading3"/>
      </w:pPr>
      <w:r>
        <w:t xml:space="preserve">6. Terms and Conditions</w:t>
      </w:r>
    </w:p>
    <w:p>
      <w:pPr>
        <w:numPr>
          <w:ilvl w:val="0"/>
          <w:numId w:val="1001"/>
        </w:numPr>
        <w:pStyle w:val="Compact"/>
      </w:pPr>
      <w:r>
        <w:t xml:space="preserve">This</w:t>
      </w:r>
      <w:r>
        <w:t xml:space="preserve"> </w:t>
      </w:r>
      <w:r>
        <w:t xml:space="preserve">Quotation Estimate</w:t>
      </w:r>
      <w:r>
        <w:t xml:space="preserve"> </w:t>
      </w:r>
      <w:r>
        <w:t xml:space="preserve">is valid for a period of thirty (30) days from the date of issue. Beyond this period, all rates and terms are subject to revision without prior notice.</w:t>
      </w:r>
    </w:p>
    <w:p>
      <w:pPr>
        <w:numPr>
          <w:ilvl w:val="0"/>
          <w:numId w:val="1001"/>
        </w:numPr>
        <w:pStyle w:val="Compact"/>
      </w:pPr>
      <w:r>
        <w:t xml:space="preserve">The</w:t>
      </w:r>
      <w:r>
        <w:t xml:space="preserve"> </w:t>
      </w:r>
      <w:r>
        <w:t xml:space="preserve">Financial Analyst</w:t>
      </w:r>
      <w:r>
        <w:t xml:space="preserve"> </w:t>
      </w:r>
      <w:r>
        <w:t xml:space="preserve">assigned to this engagement shall be a qualified professional holding a minimum of a Master's degree in Finance, Economics, or a related discipline, with at least five (5) years of relevant experience in the German financial services sector.</w:t>
      </w:r>
    </w:p>
    <w:p>
      <w:pPr>
        <w:numPr>
          <w:ilvl w:val="0"/>
          <w:numId w:val="1001"/>
        </w:numPr>
        <w:pStyle w:val="Compact"/>
      </w:pPr>
      <w:r>
        <w:t xml:space="preserve">All work performed by the</w:t>
      </w:r>
      <w:r>
        <w:t xml:space="preserve"> </w:t>
      </w:r>
      <w:r>
        <w:t xml:space="preserve">Financial Analyst</w:t>
      </w:r>
      <w:r>
        <w:t xml:space="preserve"> </w:t>
      </w:r>
      <w:r>
        <w:t xml:space="preserve">shall be conducted in strict compliance with the German Banking Act (KWG), the Securities Trading Act (WpHG), and applicable European Union regulations including MiFID II and MiFIR.</w:t>
      </w:r>
    </w:p>
    <w:p>
      <w:pPr>
        <w:numPr>
          <w:ilvl w:val="0"/>
          <w:numId w:val="1001"/>
        </w:numPr>
        <w:pStyle w:val="Compact"/>
      </w:pPr>
      <w:r>
        <w:t xml:space="preserve">Confidentiality: All financial data, client information, and proprietary models accessed during the engagement in</w:t>
      </w:r>
      <w:r>
        <w:t xml:space="preserve"> </w:t>
      </w:r>
      <w:r>
        <w:t xml:space="preserve">Germany Frankfurt</w:t>
      </w:r>
      <w:r>
        <w:t xml:space="preserve"> </w:t>
      </w:r>
      <w:r>
        <w:t xml:space="preserve">shall be treated as strictly confidential. A mutual Non-Disclosure Agreement (NDA) shall be executed prior to the commencement of services.</w:t>
      </w:r>
    </w:p>
    <w:p>
      <w:pPr>
        <w:numPr>
          <w:ilvl w:val="0"/>
          <w:numId w:val="1001"/>
        </w:numPr>
        <w:pStyle w:val="Compact"/>
      </w:pPr>
      <w:r>
        <w:t xml:space="preserve">Termination: Either party may terminate the engagement with a written notice period of sixty (60) days. In the event of early termination, all services rendered up to the effective date of termination shall be invoiced in full.</w:t>
      </w:r>
    </w:p>
    <w:p>
      <w:pPr>
        <w:numPr>
          <w:ilvl w:val="0"/>
          <w:numId w:val="1001"/>
        </w:numPr>
        <w:pStyle w:val="Compact"/>
      </w:pPr>
      <w:r>
        <w:t xml:space="preserve">Force Majeure: Neither party shall be liable for delays or failures in performance resulting from events beyond reasonable control, including but not limited to natural disasters, pandemics, or government-imposed restrictions affecting operations in</w:t>
      </w:r>
      <w:r>
        <w:t xml:space="preserve"> </w:t>
      </w:r>
      <w:r>
        <w:t xml:space="preserve">Germany Frankfurt</w:t>
      </w:r>
      <w:r>
        <w:t xml:space="preserve">.</w:t>
      </w:r>
    </w:p>
    <w:p>
      <w:pPr>
        <w:numPr>
          <w:ilvl w:val="0"/>
          <w:numId w:val="1001"/>
        </w:numPr>
        <w:pStyle w:val="Compact"/>
      </w:pPr>
      <w:r>
        <w:t xml:space="preserve">Governing Law: This</w:t>
      </w:r>
      <w:r>
        <w:t xml:space="preserve"> </w:t>
      </w:r>
      <w:r>
        <w:t xml:space="preserve">Quotation Estimate</w:t>
      </w:r>
      <w:r>
        <w:t xml:space="preserve"> </w:t>
      </w:r>
      <w:r>
        <w:t xml:space="preserve">and any resulting contract shall be governed by and construed in accordance with the laws of the Federal Republic of Germany. Any disputes shall be subject to the exclusive jurisdiction of the competent courts in Frankfurt am Main.</w:t>
      </w:r>
    </w:p>
    <w:p>
      <w:pPr>
        <w:numPr>
          <w:ilvl w:val="0"/>
          <w:numId w:val="1001"/>
        </w:numPr>
        <w:pStyle w:val="Compact"/>
      </w:pPr>
      <w:r>
        <w:t xml:space="preserve">Subcontracting: The</w:t>
      </w:r>
      <w:r>
        <w:t xml:space="preserve"> </w:t>
      </w:r>
      <w:r>
        <w:t xml:space="preserve">Financial Analyst</w:t>
      </w:r>
      <w:r>
        <w:t xml:space="preserve"> </w:t>
      </w:r>
      <w:r>
        <w:t xml:space="preserve">may not be replaced without the prior written consent of the client. Any proposed replacement must meet or exceed the qualifications specified in this document.</w:t>
      </w:r>
    </w:p>
    <w:bookmarkEnd w:id="27"/>
    <w:bookmarkStart w:id="28" w:name="acceptance-and-authorization"/>
    <w:p>
      <w:pPr>
        <w:pStyle w:val="Heading3"/>
      </w:pPr>
      <w:r>
        <w:t xml:space="preserve">7. Acceptance and Authorization</w:t>
      </w:r>
    </w:p>
    <w:p>
      <w:pPr>
        <w:pStyle w:val="FirstParagraph"/>
      </w:pPr>
      <w:r>
        <w:t xml:space="preserve">By signing below, the client acknowledges receipt of this</w:t>
      </w:r>
      <w:r>
        <w:t xml:space="preserve"> </w:t>
      </w:r>
      <w:r>
        <w:t xml:space="preserve">Quotation Estimate</w:t>
      </w:r>
      <w:r>
        <w:t xml:space="preserve"> </w:t>
      </w:r>
      <w:r>
        <w:t xml:space="preserve">and authorizes Meridian Advisory Partners GmbH to commence the</w:t>
      </w:r>
      <w:r>
        <w:t xml:space="preserve"> </w:t>
      </w:r>
      <w:r>
        <w:t xml:space="preserve">Financial Analyst</w:t>
      </w:r>
      <w:r>
        <w:t xml:space="preserve"> </w:t>
      </w:r>
      <w:r>
        <w:t xml:space="preserve">engagement in</w:t>
      </w:r>
      <w:r>
        <w:t xml:space="preserve"> </w:t>
      </w:r>
      <w:r>
        <w:t xml:space="preserve">Germany Frankfurt</w:t>
      </w:r>
      <w:r>
        <w:t xml:space="preserve"> </w:t>
      </w:r>
      <w:r>
        <w:t xml:space="preserve">under the terms and conditions set forth herein. This signature constitutes a binding acceptance of all rates, scopes, and obligations described in this document.</w:t>
      </w:r>
    </w:p>
    <w:bookmarkEnd w:id="28"/>
    <w:p>
      <w:pPr>
        <w:pStyle w:val="BodyText"/>
      </w:pPr>
      <w:r>
        <w:rPr>
          <w:bCs/>
          <w:b/>
        </w:rPr>
        <w:t xml:space="preserve">For Meridian Advisory Partners GmbH</w:t>
      </w:r>
    </w:p>
    <w:p>
      <w:pPr>
        <w:pStyle w:val="BodyText"/>
      </w:pPr>
      <w:r>
        <w:t xml:space="preserve">Name: Dr. Katharina Steinbach</w:t>
      </w:r>
      <w:r>
        <w:br/>
      </w:r>
      <w:r>
        <w:t xml:space="preserve">Title: Managing Director</w:t>
      </w:r>
      <w:r>
        <w:br/>
      </w:r>
      <w:r>
        <w:t xml:space="preserve">Signature &amp; Date: ___________________________</w:t>
      </w:r>
    </w:p>
    <w:p>
      <w:pPr>
        <w:pStyle w:val="BodyText"/>
      </w:pPr>
      <w:r>
        <w:rPr>
          <w:bCs/>
          <w:b/>
        </w:rPr>
        <w:t xml:space="preserve">For Deutsche Kapitalverwaltung AG (Client)</w:t>
      </w:r>
    </w:p>
    <w:p>
      <w:pPr>
        <w:pStyle w:val="BodyText"/>
      </w:pPr>
      <w:r>
        <w:t xml:space="preserve">Name: Dr. Heinrich Vogel</w:t>
      </w:r>
      <w:r>
        <w:br/>
      </w:r>
      <w:r>
        <w:t xml:space="preserve">Title: Head of Financial Planning</w:t>
      </w:r>
      <w:r>
        <w:br/>
      </w:r>
      <w:r>
        <w:t xml:space="preserve">Signature &amp; Date: ___________________________</w:t>
      </w:r>
    </w:p>
    <w:p>
      <w:pPr>
        <w:pStyle w:val="BodyText"/>
      </w:pPr>
      <w:r>
        <w:t xml:space="preserve">Meridian Advisory Partners GmbH | Frankfurter Allee 142, 10405 Berlin | HRB 123456 B, Amtsgericht Charlottenburg</w:t>
      </w:r>
    </w:p>
    <w:p>
      <w:pPr>
        <w:pStyle w:val="BodyText"/>
      </w:pPr>
      <w:r>
        <w:t xml:space="preserve">This Quotation Estimate document was generated electronically and is valid without a physical signature. Reference: QTE-2025-FA-0487 |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Financial Analyst - Germany Frankfurt</dc:title>
  <dc:creator/>
  <dc:language>en</dc:language>
  <cp:keywords/>
  <dcterms:created xsi:type="dcterms:W3CDTF">2026-10-10T03:38:51Z</dcterms:created>
  <dcterms:modified xsi:type="dcterms:W3CDTF">2026-10-10T03:38:51Z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