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Munich Financial Advisory Group GmbH</w:t>
      </w:r>
    </w:p>
    <w:p>
      <w:pPr>
        <w:pStyle w:val="BodyText"/>
      </w:pPr>
      <w:r>
        <w:t xml:space="preserve">Maximilianstraße 42, 80539 Munich, Germany</w:t>
      </w:r>
      <w:r>
        <w:br/>
      </w:r>
      <w:r>
        <w:t xml:space="preserve">Phone: +49 89 1234 5678 | Email: quotations@munichfinancial.de</w:t>
      </w:r>
      <w:r>
        <w:br/>
      </w:r>
      <w:r>
        <w:t xml:space="preserve">VAT ID: DE 312 456 789</w:t>
      </w:r>
    </w:p>
    <w:p>
      <w:pPr>
        <w:pStyle w:val="BodyText"/>
      </w:pPr>
      <w:r>
        <w:t xml:space="preserve">Quotation No.: QFE-2025-0847</w:t>
      </w:r>
    </w:p>
    <w:p>
      <w:pPr>
        <w:pStyle w:val="BodyText"/>
      </w:pPr>
      <w:r>
        <w:t xml:space="preserve">Date: 15 June 2025</w:t>
      </w:r>
    </w:p>
    <w:p>
      <w:pPr>
        <w:pStyle w:val="BodyText"/>
      </w:pPr>
      <w:r>
        <w:t xml:space="preserve">Valid Until: 15 July 2025</w:t>
      </w:r>
    </w:p>
    <w:p>
      <w:pPr>
        <w:pStyle w:val="BodyText"/>
      </w:pPr>
      <w:r>
        <w:t xml:space="preserve">Quotation Estimate</w:t>
      </w:r>
    </w:p>
    <w:p>
      <w:pPr>
        <w:pStyle w:val="BodyText"/>
      </w:pPr>
      <w:r>
        <w:t xml:space="preserve">Professional Financial Analyst Services — Germany Munich Region</w:t>
      </w:r>
    </w:p>
    <w:bookmarkStart w:id="20" w:name="prepared-for"/>
    <w:p>
      <w:pPr>
        <w:pStyle w:val="Heading3"/>
      </w:pPr>
      <w:r>
        <w:t xml:space="preserve">Prepared For</w:t>
      </w:r>
    </w:p>
    <w:p>
      <w:pPr>
        <w:pStyle w:val="FirstParagraph"/>
      </w:pPr>
      <w:r>
        <w:rPr>
          <w:bCs/>
          <w:b/>
        </w:rPr>
        <w:t xml:space="preserve">Client:</w:t>
      </w:r>
      <w:r>
        <w:t xml:space="preserve"> </w:t>
      </w:r>
      <w:r>
        <w:t xml:space="preserve">Bayerische Industrieholding AG</w:t>
      </w:r>
    </w:p>
    <w:p>
      <w:pPr>
        <w:pStyle w:val="BodyText"/>
      </w:pPr>
      <w:r>
        <w:rPr>
          <w:bCs/>
          <w:b/>
        </w:rPr>
        <w:t xml:space="preserve">Contact:</w:t>
      </w:r>
      <w:r>
        <w:t xml:space="preserve"> </w:t>
      </w:r>
      <w:r>
        <w:t xml:space="preserve">Dr. Heinrich Vogel, CFO</w:t>
      </w:r>
    </w:p>
    <w:p>
      <w:pPr>
        <w:pStyle w:val="BodyText"/>
      </w:pPr>
      <w:r>
        <w:rPr>
          <w:bCs/>
          <w:b/>
        </w:rPr>
        <w:t xml:space="preserve">Address:</w:t>
      </w:r>
      <w:r>
        <w:t xml:space="preserve"> </w:t>
      </w:r>
      <w:r>
        <w:t xml:space="preserve">Leopoldstraße 110, 80802 Munich, Germany</w:t>
      </w:r>
    </w:p>
    <w:p>
      <w:pPr>
        <w:pStyle w:val="BodyText"/>
      </w:pPr>
      <w:r>
        <w:rPr>
          <w:bCs/>
          <w:b/>
        </w:rPr>
        <w:t xml:space="preserve">Reference:</w:t>
      </w:r>
      <w:r>
        <w:t xml:space="preserve"> </w:t>
      </w:r>
      <w:r>
        <w:t xml:space="preserve">BIA-2025-FA-003</w:t>
      </w:r>
    </w:p>
    <w:bookmarkEnd w:id="20"/>
    <w:bookmarkStart w:id="21" w:name="prepared-by"/>
    <w:p>
      <w:pPr>
        <w:pStyle w:val="Heading3"/>
      </w:pPr>
      <w:r>
        <w:t xml:space="preserve">Prepared By</w:t>
      </w:r>
    </w:p>
    <w:p>
      <w:pPr>
        <w:pStyle w:val="FirstParagraph"/>
      </w:pPr>
      <w:r>
        <w:rPr>
          <w:bCs/>
          <w:b/>
        </w:rPr>
        <w:t xml:space="preserve">Consultant:</w:t>
      </w:r>
      <w:r>
        <w:t xml:space="preserve"> </w:t>
      </w:r>
      <w:r>
        <w:t xml:space="preserve">Sarah Lindner, Senior Analyst</w:t>
      </w:r>
    </w:p>
    <w:p>
      <w:pPr>
        <w:pStyle w:val="BodyText"/>
      </w:pPr>
      <w:r>
        <w:rPr>
          <w:bCs/>
          <w:b/>
        </w:rPr>
        <w:t xml:space="preserve">Department:</w:t>
      </w:r>
      <w:r>
        <w:t xml:space="preserve"> </w:t>
      </w:r>
      <w:r>
        <w:t xml:space="preserve">Financial Advisory &amp; Analytics</w:t>
      </w:r>
    </w:p>
    <w:p>
      <w:pPr>
        <w:pStyle w:val="BodyText"/>
      </w:pPr>
      <w:r>
        <w:rPr>
          <w:bCs/>
          <w:b/>
        </w:rPr>
        <w:t xml:space="preserve">Location:</w:t>
      </w:r>
      <w:r>
        <w:t xml:space="preserve"> </w:t>
      </w:r>
      <w:r>
        <w:t xml:space="preserve">Munich, Germany</w:t>
      </w:r>
    </w:p>
    <w:p>
      <w:pPr>
        <w:pStyle w:val="BodyText"/>
      </w:pPr>
      <w:r>
        <w:rPr>
          <w:bCs/>
          <w:b/>
        </w:rPr>
        <w:t xml:space="preserve">Phone:</w:t>
      </w:r>
      <w:r>
        <w:t xml:space="preserve"> </w:t>
      </w:r>
      <w:r>
        <w:t xml:space="preserve">+49 89 1234 5690</w:t>
      </w:r>
    </w:p>
    <w:bookmarkEnd w:id="21"/>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specifically to outline the comprehensive professional services that Munich Financial Advisory Group GmbH will deliver to Bayerische Industrieholding AG. The primary focus of this engagement is the provision of a dedicated</w:t>
      </w:r>
      <w:r>
        <w:t xml:space="preserve"> </w:t>
      </w:r>
      <w:r>
        <w:t xml:space="preserve">Financial Analyst</w:t>
      </w:r>
      <w:r>
        <w:t xml:space="preserve"> </w:t>
      </w:r>
      <w:r>
        <w:t xml:space="preserve">to support the client's strategic planning, portfolio evaluation, and operational financial reporting within the</w:t>
      </w:r>
      <w:r>
        <w:t xml:space="preserve"> </w:t>
      </w:r>
      <w:r>
        <w:t xml:space="preserve">Germany Munich</w:t>
      </w:r>
      <w:r>
        <w:t xml:space="preserve"> </w:t>
      </w:r>
      <w:r>
        <w:t xml:space="preserve">metropolitan area. This document serves as a formal, binding cost projection for the services described herein and is valid for a period of thirty (30) calendar days from the date of issue.</w:t>
      </w:r>
    </w:p>
    <w:p>
      <w:pPr>
        <w:pStyle w:val="BodyText"/>
      </w:pPr>
      <w:r>
        <w:t xml:space="preserve">The</w:t>
      </w:r>
      <w:r>
        <w:t xml:space="preserve"> </w:t>
      </w:r>
      <w:r>
        <w:t xml:space="preserve">Financial Analyst</w:t>
      </w:r>
      <w:r>
        <w:t xml:space="preserve"> </w:t>
      </w:r>
      <w:r>
        <w:t xml:space="preserve">engagement is designed to meet the specific regulatory, reporting, and analytical requirements of the German financial sector as governed by the Bundesbank, BaFin, and applicable IFRS/GAAP standards. All services will be rendered from our principal office in</w:t>
      </w:r>
      <w:r>
        <w:t xml:space="preserve"> </w:t>
      </w:r>
      <w:r>
        <w:t xml:space="preserve">Germany Munich</w:t>
      </w:r>
      <w:r>
        <w:t xml:space="preserve">, ensuring proximity to the client's headquarters and the ability to conduct in-person consultations, board presentations, and on-site data collection as required.</w:t>
      </w:r>
    </w:p>
    <w:p>
      <w:pPr>
        <w:pStyle w:val="BodyText"/>
      </w:pPr>
      <w:r>
        <w:t xml:space="preserve">2. Detailed Service Breakdown and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Full-time</w:t>
            </w:r>
            <w:r>
              <w:t xml:space="preserve"> </w:t>
            </w:r>
            <w:r>
              <w:rPr>
                <w:bCs/>
                <w:b/>
              </w:rPr>
              <w:t xml:space="preserve">Financial Analyst</w:t>
            </w:r>
            <w:r>
              <w:t xml:space="preserve"> </w:t>
            </w:r>
            <w:r>
              <w:t xml:space="preserve">placement — daily financial modelling, variance analysis, and KPI reporting for the Munich operations division</w:t>
            </w:r>
          </w:p>
        </w:tc>
        <w:tc>
          <w:tcPr/>
          <w:p>
            <w:pPr>
              <w:pStyle w:val="Compact"/>
              <w:jc w:val="left"/>
            </w:pPr>
            <w:r>
              <w:t xml:space="preserve">6 months (Jan–Jun 2026)</w:t>
            </w:r>
          </w:p>
        </w:tc>
        <w:tc>
          <w:tcPr/>
          <w:p>
            <w:pPr>
              <w:pStyle w:val="Compact"/>
              <w:jc w:val="left"/>
            </w:pPr>
            <w:r>
              <w:t xml:space="preserve">€95,000 / month</w:t>
            </w:r>
          </w:p>
        </w:tc>
        <w:tc>
          <w:tcPr/>
          <w:p>
            <w:pPr>
              <w:pStyle w:val="Compact"/>
              <w:jc w:val="left"/>
            </w:pPr>
            <w:r>
              <w:t xml:space="preserve">€570,000.00</w:t>
            </w:r>
          </w:p>
        </w:tc>
        <w:tc>
          <w:tcPr/>
          <w:p>
            <w:pPr>
              <w:pStyle w:val="Compact"/>
              <w:jc w:val="left"/>
            </w:pPr>
            <w:r>
              <w:t xml:space="preserve">40 hrs/week, on-site in Munich</w:t>
            </w:r>
          </w:p>
        </w:tc>
      </w:tr>
      <w:tr>
        <w:tc>
          <w:tcPr/>
          <w:p>
            <w:pPr>
              <w:pStyle w:val="Compact"/>
              <w:jc w:val="left"/>
            </w:pPr>
            <w:r>
              <w:t xml:space="preserve">02</w:t>
            </w:r>
          </w:p>
        </w:tc>
        <w:tc>
          <w:tcPr/>
          <w:p>
            <w:pPr>
              <w:pStyle w:val="Compact"/>
              <w:jc w:val="left"/>
            </w:pPr>
            <w:r>
              <w:t xml:space="preserve">Quarterly strategic financial review and board-level presentation preparation by the</w:t>
            </w:r>
            <w:r>
              <w:t xml:space="preserve"> </w:t>
            </w:r>
            <w:r>
              <w:rPr>
                <w:bCs/>
                <w:b/>
              </w:rPr>
              <w:t xml:space="preserve">Financial Analyst</w:t>
            </w:r>
            <w:r>
              <w:t xml:space="preserve"> </w:t>
            </w:r>
            <w:r>
              <w:t xml:space="preserve">team</w:t>
            </w:r>
          </w:p>
        </w:tc>
        <w:tc>
          <w:tcPr/>
          <w:p>
            <w:pPr>
              <w:pStyle w:val="Compact"/>
              <w:jc w:val="left"/>
            </w:pPr>
            <w:r>
              <w:t xml:space="preserve">4 quarters</w:t>
            </w:r>
          </w:p>
        </w:tc>
        <w:tc>
          <w:tcPr/>
          <w:p>
            <w:pPr>
              <w:pStyle w:val="Compact"/>
              <w:jc w:val="left"/>
            </w:pPr>
            <w:r>
              <w:t xml:space="preserve">€12,500 / quarter</w:t>
            </w:r>
          </w:p>
        </w:tc>
        <w:tc>
          <w:tcPr/>
          <w:p>
            <w:pPr>
              <w:pStyle w:val="Compact"/>
              <w:jc w:val="left"/>
            </w:pPr>
            <w:r>
              <w:t xml:space="preserve">€50,000.00</w:t>
            </w:r>
          </w:p>
        </w:tc>
        <w:tc>
          <w:tcPr/>
          <w:p>
            <w:pPr>
              <w:pStyle w:val="Compact"/>
              <w:jc w:val="left"/>
            </w:pPr>
            <w:r>
              <w:t xml:space="preserve">Includes data room access</w:t>
            </w:r>
          </w:p>
        </w:tc>
      </w:tr>
      <w:tr>
        <w:tc>
          <w:tcPr/>
          <w:p>
            <w:pPr>
              <w:pStyle w:val="Compact"/>
              <w:jc w:val="left"/>
            </w:pPr>
            <w:r>
              <w:t xml:space="preserve">03</w:t>
            </w:r>
          </w:p>
        </w:tc>
        <w:tc>
          <w:tcPr/>
          <w:p>
            <w:pPr>
              <w:pStyle w:val="Compact"/>
              <w:jc w:val="left"/>
            </w:pPr>
            <w:r>
              <w:t xml:space="preserve">Capital structure optimisation and debt refinancing analysis specific to the</w:t>
            </w:r>
            <w:r>
              <w:t xml:space="preserve"> </w:t>
            </w:r>
            <w:r>
              <w:rPr>
                <w:bCs/>
                <w:b/>
              </w:rPr>
              <w:t xml:space="preserve">Germany Munich</w:t>
            </w:r>
            <w:r>
              <w:t xml:space="preserve"> </w:t>
            </w:r>
            <w:r>
              <w:t xml:space="preserve">industrial market</w:t>
            </w:r>
          </w:p>
        </w:tc>
        <w:tc>
          <w:tcPr/>
          <w:p>
            <w:pPr>
              <w:pStyle w:val="Compact"/>
              <w:jc w:val="left"/>
            </w:pPr>
            <w:r>
              <w:t xml:space="preserve">2 months</w:t>
            </w:r>
          </w:p>
        </w:tc>
        <w:tc>
          <w:tcPr/>
          <w:p>
            <w:pPr>
              <w:pStyle w:val="Compact"/>
              <w:jc w:val="left"/>
            </w:pPr>
            <w:r>
              <w:t xml:space="preserve">€18,000 / month</w:t>
            </w:r>
          </w:p>
        </w:tc>
        <w:tc>
          <w:tcPr/>
          <w:p>
            <w:pPr>
              <w:pStyle w:val="Compact"/>
              <w:jc w:val="left"/>
            </w:pPr>
            <w:r>
              <w:t xml:space="preserve">€36,000.00</w:t>
            </w:r>
          </w:p>
        </w:tc>
        <w:tc>
          <w:tcPr/>
          <w:p>
            <w:pPr>
              <w:pStyle w:val="Compact"/>
              <w:jc w:val="left"/>
            </w:pPr>
            <w:r>
              <w:t xml:space="preserve">BaFin-compliant reporting</w:t>
            </w:r>
          </w:p>
        </w:tc>
      </w:tr>
      <w:tr>
        <w:tc>
          <w:tcPr/>
          <w:p>
            <w:pPr>
              <w:pStyle w:val="Compact"/>
              <w:jc w:val="left"/>
            </w:pPr>
            <w:r>
              <w:t xml:space="preserve">04</w:t>
            </w:r>
          </w:p>
        </w:tc>
        <w:tc>
          <w:tcPr/>
          <w:p>
            <w:pPr>
              <w:pStyle w:val="Compact"/>
              <w:jc w:val="left"/>
            </w:pPr>
            <w:r>
              <w:t xml:space="preserve">Implementation of automated financial reporting dashboard (Power BI / SAP integration) for the</w:t>
            </w:r>
            <w:r>
              <w:t xml:space="preserve"> </w:t>
            </w:r>
            <w:r>
              <w:rPr>
                <w:bCs/>
                <w:b/>
              </w:rPr>
              <w:t xml:space="preserve">Financial Analyst</w:t>
            </w:r>
            <w:r>
              <w:t xml:space="preserve"> </w:t>
            </w:r>
            <w:r>
              <w:t xml:space="preserve">workflow</w:t>
            </w:r>
          </w:p>
        </w:tc>
        <w:tc>
          <w:tcPr/>
          <w:p>
            <w:pPr>
              <w:pStyle w:val="Compact"/>
              <w:jc w:val="left"/>
            </w:pPr>
            <w:r>
              <w:t xml:space="preserve">3 months</w:t>
            </w:r>
          </w:p>
        </w:tc>
        <w:tc>
          <w:tcPr/>
          <w:p>
            <w:pPr>
              <w:pStyle w:val="Compact"/>
              <w:jc w:val="left"/>
            </w:pPr>
            <w:r>
              <w:t xml:space="preserve">€22,000 / month</w:t>
            </w:r>
          </w:p>
        </w:tc>
        <w:tc>
          <w:tcPr/>
          <w:p>
            <w:pPr>
              <w:pStyle w:val="Compact"/>
              <w:jc w:val="left"/>
            </w:pPr>
            <w:r>
              <w:t xml:space="preserve">€66,000.00</w:t>
            </w:r>
          </w:p>
        </w:tc>
        <w:tc>
          <w:tcPr/>
          <w:p>
            <w:pPr>
              <w:pStyle w:val="Compact"/>
              <w:jc w:val="left"/>
            </w:pPr>
            <w:r>
              <w:t xml:space="preserve">One-time setup + 3 mo. support</w:t>
            </w:r>
          </w:p>
        </w:tc>
      </w:tr>
      <w:tr>
        <w:tc>
          <w:tcPr/>
          <w:p>
            <w:pPr>
              <w:pStyle w:val="Compact"/>
              <w:jc w:val="left"/>
            </w:pPr>
            <w:r>
              <w:t xml:space="preserve">05</w:t>
            </w:r>
          </w:p>
        </w:tc>
        <w:tc>
          <w:tcPr/>
          <w:p>
            <w:pPr>
              <w:pStyle w:val="Compact"/>
              <w:jc w:val="left"/>
            </w:pPr>
            <w:r>
              <w:t xml:space="preserve">Regulatory compliance audit support — HGB, IFRS, and German tax code (AO) alignment for all</w:t>
            </w:r>
            <w:r>
              <w:t xml:space="preserve"> </w:t>
            </w:r>
            <w:r>
              <w:rPr>
                <w:bCs/>
                <w:b/>
              </w:rPr>
              <w:t xml:space="preserve">Financial Analyst</w:t>
            </w:r>
            <w:r>
              <w:t xml:space="preserve"> </w:t>
            </w:r>
            <w:r>
              <w:t xml:space="preserve">deliverables</w:t>
            </w:r>
          </w:p>
        </w:tc>
        <w:tc>
          <w:tcPr/>
          <w:p>
            <w:pPr>
              <w:pStyle w:val="Compact"/>
              <w:jc w:val="left"/>
            </w:pPr>
            <w:r>
              <w:t xml:space="preserve">Ongoing</w:t>
            </w:r>
          </w:p>
        </w:tc>
        <w:tc>
          <w:tcPr/>
          <w:p>
            <w:pPr>
              <w:pStyle w:val="Compact"/>
              <w:jc w:val="left"/>
            </w:pPr>
            <w:r>
              <w:t xml:space="preserve">€8,500 / month</w:t>
            </w:r>
          </w:p>
        </w:tc>
        <w:tc>
          <w:tcPr/>
          <w:p>
            <w:pPr>
              <w:pStyle w:val="Compact"/>
              <w:jc w:val="left"/>
            </w:pPr>
            <w:r>
              <w:t xml:space="preserve">€51,000.00</w:t>
            </w:r>
          </w:p>
        </w:tc>
        <w:tc>
          <w:tcPr/>
          <w:p>
            <w:pPr>
              <w:pStyle w:val="Compact"/>
              <w:jc w:val="left"/>
            </w:pPr>
            <w:r>
              <w:t xml:space="preserve">6-month period</w:t>
            </w:r>
          </w:p>
        </w:tc>
      </w:tr>
      <w:tr>
        <w:tc>
          <w:tcPr/>
          <w:p>
            <w:pPr>
              <w:pStyle w:val="Compact"/>
              <w:jc w:val="left"/>
            </w:pPr>
            <w:r>
              <w:t xml:space="preserve">06</w:t>
            </w:r>
          </w:p>
        </w:tc>
        <w:tc>
          <w:tcPr/>
          <w:p>
            <w:pPr>
              <w:pStyle w:val="Compact"/>
              <w:jc w:val="left"/>
            </w:pPr>
            <w:r>
              <w:t xml:space="preserve">Ad-hoc market intelligence and competitor financial benchmarking within the</w:t>
            </w:r>
            <w:r>
              <w:t xml:space="preserve"> </w:t>
            </w:r>
            <w:r>
              <w:rPr>
                <w:bCs/>
                <w:b/>
              </w:rPr>
              <w:t xml:space="preserve">Germany Munich</w:t>
            </w:r>
            <w:r>
              <w:t xml:space="preserve"> </w:t>
            </w:r>
            <w:r>
              <w:t xml:space="preserve">economic corridor</w:t>
            </w:r>
          </w:p>
        </w:tc>
        <w:tc>
          <w:tcPr/>
          <w:p>
            <w:pPr>
              <w:pStyle w:val="Compact"/>
              <w:jc w:val="left"/>
            </w:pPr>
            <w:r>
              <w:t xml:space="preserve">6 months</w:t>
            </w:r>
          </w:p>
        </w:tc>
        <w:tc>
          <w:tcPr/>
          <w:p>
            <w:pPr>
              <w:pStyle w:val="Compact"/>
              <w:jc w:val="left"/>
            </w:pPr>
            <w:r>
              <w:t xml:space="preserve">€6,000 / month</w:t>
            </w:r>
          </w:p>
        </w:tc>
        <w:tc>
          <w:tcPr/>
          <w:p>
            <w:pPr>
              <w:pStyle w:val="Compact"/>
              <w:jc w:val="left"/>
            </w:pPr>
            <w:r>
              <w:t xml:space="preserve">€36,000.00</w:t>
            </w:r>
          </w:p>
        </w:tc>
        <w:tc>
          <w:tcPr/>
          <w:p>
            <w:pPr>
              <w:pStyle w:val="Compact"/>
              <w:jc w:val="left"/>
            </w:pPr>
            <w:r>
              <w:t xml:space="preserve">Monthly written reports</w:t>
            </w:r>
          </w:p>
        </w:tc>
      </w:tr>
      <w:tr>
        <w:tc>
          <w:tcPr/>
          <w:p>
            <w:pPr>
              <w:pStyle w:val="Compact"/>
              <w:jc w:val="left"/>
            </w:pPr>
            <w:r>
              <w:t xml:space="preserve">07</w:t>
            </w:r>
          </w:p>
        </w:tc>
        <w:tc>
          <w:tcPr/>
          <w:p>
            <w:pPr>
              <w:pStyle w:val="Compact"/>
              <w:jc w:val="left"/>
            </w:pPr>
            <w:r>
              <w:t xml:space="preserve">Project management, coordination, and quality assurance oversight for the entire</w:t>
            </w:r>
            <w:r>
              <w:t xml:space="preserve"> </w:t>
            </w:r>
            <w:r>
              <w:rPr>
                <w:bCs/>
                <w:b/>
              </w:rPr>
              <w:t xml:space="preserve">Quotation Estimate</w:t>
            </w:r>
            <w:r>
              <w:t xml:space="preserve"> </w:t>
            </w:r>
            <w:r>
              <w:t xml:space="preserve">scope</w:t>
            </w:r>
          </w:p>
        </w:tc>
        <w:tc>
          <w:tcPr/>
          <w:p>
            <w:pPr>
              <w:pStyle w:val="Compact"/>
              <w:jc w:val="left"/>
            </w:pPr>
            <w:r>
              <w:t xml:space="preserve">6 months</w:t>
            </w:r>
          </w:p>
        </w:tc>
        <w:tc>
          <w:tcPr/>
          <w:p>
            <w:pPr>
              <w:pStyle w:val="Compact"/>
              <w:jc w:val="left"/>
            </w:pPr>
            <w:r>
              <w:t xml:space="preserve">€5,500 / month</w:t>
            </w:r>
          </w:p>
        </w:tc>
        <w:tc>
          <w:tcPr/>
          <w:p>
            <w:pPr>
              <w:pStyle w:val="Compact"/>
              <w:jc w:val="left"/>
            </w:pPr>
            <w:r>
              <w:t xml:space="preserve">€33,000.00</w:t>
            </w:r>
          </w:p>
        </w:tc>
        <w:tc>
          <w:tcPr/>
          <w:p>
            <w:pPr>
              <w:pStyle w:val="Compact"/>
              <w:jc w:val="left"/>
            </w:pPr>
            <w:r>
              <w:t xml:space="preserve">Dedicated PM in Munich</w:t>
            </w:r>
          </w:p>
        </w:tc>
      </w:tr>
      <w:tr>
        <w:tc>
          <w:tcPr>
            <w:gridSpan w:val="4"/>
          </w:tcPr>
          <w:p>
            <w:pPr>
              <w:pStyle w:val="Compact"/>
              <w:jc w:val="left"/>
            </w:pPr>
            <w:r>
              <w:t xml:space="preserve">Subtotal (excl. VAT)</w:t>
            </w:r>
          </w:p>
        </w:tc>
        <w:tc>
          <w:tcPr/>
          <w:p>
            <w:pPr>
              <w:pStyle w:val="Compact"/>
              <w:jc w:val="left"/>
            </w:pPr>
            <w:r>
              <w:t xml:space="preserve">€842,000.00</w:t>
            </w:r>
          </w:p>
        </w:tc>
        <w:tc>
          <w:tcPr/>
          <w:p>
            <w:pPr>
              <w:pStyle w:val="Compact"/>
            </w:pPr>
          </w:p>
        </w:tc>
      </w:tr>
      <w:tr>
        <w:tc>
          <w:tcPr>
            <w:gridSpan w:val="4"/>
          </w:tcPr>
          <w:p>
            <w:pPr>
              <w:pStyle w:val="Compact"/>
              <w:jc w:val="left"/>
            </w:pPr>
            <w:r>
              <w:t xml:space="preserve">VAT (19% — German standard rate)</w:t>
            </w:r>
          </w:p>
        </w:tc>
        <w:tc>
          <w:tcPr/>
          <w:p>
            <w:pPr>
              <w:pStyle w:val="Compact"/>
              <w:jc w:val="left"/>
            </w:pPr>
            <w:r>
              <w:t xml:space="preserve">€159,980.00</w:t>
            </w:r>
          </w:p>
        </w:tc>
        <w:tc>
          <w:tcPr/>
          <w:p>
            <w:pPr>
              <w:pStyle w:val="Compact"/>
            </w:pPr>
          </w:p>
        </w:tc>
      </w:tr>
      <w:tr>
        <w:tc>
          <w:tcPr>
            <w:gridSpan w:val="4"/>
          </w:tcPr>
          <w:p>
            <w:pPr>
              <w:pStyle w:val="Compact"/>
              <w:jc w:val="left"/>
            </w:pPr>
            <w:r>
              <w:rPr>
                <w:bCs/>
                <w:b/>
              </w:rPr>
              <w:t xml:space="preserve">TOTAL ESTIMATED COST</w:t>
            </w:r>
          </w:p>
        </w:tc>
        <w:tc>
          <w:tcPr/>
          <w:p>
            <w:pPr>
              <w:pStyle w:val="Compact"/>
              <w:jc w:val="left"/>
            </w:pPr>
            <w:r>
              <w:rPr>
                <w:bCs/>
                <w:b/>
              </w:rPr>
              <w:t xml:space="preserve">€1,001,980.00</w:t>
            </w:r>
          </w:p>
        </w:tc>
        <w:tc>
          <w:tcPr/>
          <w:p>
            <w:pPr>
              <w:pStyle w:val="Compact"/>
            </w:pPr>
          </w:p>
        </w:tc>
      </w:tr>
    </w:tbl>
    <w:p>
      <w:pPr>
        <w:pStyle w:val="BodyText"/>
      </w:pPr>
      <w:r>
        <w:t xml:space="preserve">3. Terms and Conditions of This Quotation Estimate</w:t>
      </w:r>
    </w:p>
    <w:p>
      <w:pPr>
        <w:pStyle w:val="BodyText"/>
      </w:pPr>
      <w:r>
        <w:rPr>
          <w:bCs/>
          <w:b/>
        </w:rPr>
        <w:t xml:space="preserve">3.1 Validity:</w:t>
      </w:r>
      <w:r>
        <w:t xml:space="preserve"> </w:t>
      </w:r>
      <w:r>
        <w:t xml:space="preserve">This</w:t>
      </w:r>
      <w:r>
        <w:t xml:space="preserve"> </w:t>
      </w:r>
      <w:r>
        <w:t xml:space="preserve">Quotation Estimate</w:t>
      </w:r>
      <w:r>
        <w:t xml:space="preserve"> </w:t>
      </w:r>
      <w:r>
        <w:t xml:space="preserve">is valid for thirty (30) days from the date of issue. After the expiry date, all rates and terms are subject to revision without prior notice.</w:t>
      </w:r>
    </w:p>
    <w:p>
      <w:pPr>
        <w:pStyle w:val="BodyText"/>
      </w:pPr>
      <w:r>
        <w:rPr>
          <w:bCs/>
          <w:b/>
        </w:rPr>
        <w:t xml:space="preserve">3.2 Payment Terms:</w:t>
      </w:r>
      <w:r>
        <w:t xml:space="preserve"> </w:t>
      </w:r>
      <w:r>
        <w:t xml:space="preserve">Invoices shall be issued monthly in arrears. Payment is due within thirty (30) days of invoice date via SEPA bank transfer to the account of Munich Financial Advisory Group GmbH, IBAN: DE89 3704 0044 0532 0130 00, BIC: COBADEFFXXX, Munich, Germany. A late payment interest of 8% above the ECB base rate applies per §288 BGB.</w:t>
      </w:r>
    </w:p>
    <w:p>
      <w:pPr>
        <w:pStyle w:val="BodyText"/>
      </w:pPr>
      <w:r>
        <w:rPr>
          <w:bCs/>
          <w:b/>
        </w:rPr>
        <w:t xml:space="preserve">3.3 Scope Changes:</w:t>
      </w:r>
      <w:r>
        <w:t xml:space="preserve"> </w:t>
      </w:r>
      <w:r>
        <w:t xml:space="preserve">Any modification to the scope of the</w:t>
      </w:r>
      <w:r>
        <w:t xml:space="preserve"> </w:t>
      </w:r>
      <w:r>
        <w:t xml:space="preserve">Financial Analyst</w:t>
      </w:r>
      <w:r>
        <w:t xml:space="preserve"> </w:t>
      </w:r>
      <w:r>
        <w:t xml:space="preserve">engagement beyond the items listed in Section 2 must be agreed upon in writing via a formal change order. Additional costs will be itemised in a supplementary</w:t>
      </w:r>
      <w:r>
        <w:t xml:space="preserve"> </w:t>
      </w:r>
      <w:r>
        <w:t xml:space="preserve">Quotation Estimate</w:t>
      </w:r>
      <w:r>
        <w:t xml:space="preserve">.</w:t>
      </w:r>
    </w:p>
    <w:p>
      <w:pPr>
        <w:pStyle w:val="BodyText"/>
      </w:pPr>
      <w:r>
        <w:rPr>
          <w:bCs/>
          <w:b/>
        </w:rPr>
        <w:t xml:space="preserve">3.4 Confidentiality:</w:t>
      </w:r>
      <w:r>
        <w:t xml:space="preserve"> </w:t>
      </w:r>
      <w:r>
        <w:t xml:space="preserve">All financial data, models, and reports produced by the</w:t>
      </w:r>
      <w:r>
        <w:t xml:space="preserve"> </w:t>
      </w:r>
      <w:r>
        <w:t xml:space="preserve">Financial Analyst</w:t>
      </w:r>
      <w:r>
        <w:t xml:space="preserve"> </w:t>
      </w:r>
      <w:r>
        <w:t xml:space="preserve">team are classified as strictly confidential. A mutual Non-Disclosure Agreement (NDA) must be executed prior to the commencement of services. Data processing shall comply with the EU General Data Protection Regulation (GDPR) and the German Federal Data Protection Act (BDSG).</w:t>
      </w:r>
    </w:p>
    <w:p>
      <w:pPr>
        <w:pStyle w:val="BodyText"/>
      </w:pPr>
      <w:r>
        <w:rPr>
          <w:bCs/>
          <w:b/>
        </w:rPr>
        <w:t xml:space="preserve">3.5 Jurisdiction:</w:t>
      </w:r>
      <w:r>
        <w:t xml:space="preserve"> </w:t>
      </w:r>
      <w:r>
        <w:t xml:space="preserve">This</w:t>
      </w:r>
      <w:r>
        <w:t xml:space="preserve"> </w:t>
      </w:r>
      <w:r>
        <w:t xml:space="preserve">Quotation Estimate</w:t>
      </w:r>
      <w:r>
        <w:t xml:space="preserve"> </w:t>
      </w:r>
      <w:r>
        <w:t xml:space="preserve">and any resulting contract shall be governed by the laws of the Federal Republic of Germany. Any disputes shall be subject to the exclusive jurisdiction of the competent courts in</w:t>
      </w:r>
      <w:r>
        <w:t xml:space="preserve"> </w:t>
      </w:r>
      <w:r>
        <w:t xml:space="preserve">Germany Munich</w:t>
      </w:r>
      <w:r>
        <w:t xml:space="preserve">.</w:t>
      </w:r>
    </w:p>
    <w:p>
      <w:pPr>
        <w:pStyle w:val="BodyText"/>
      </w:pPr>
      <w:r>
        <w:rPr>
          <w:bCs/>
          <w:b/>
        </w:rPr>
        <w:t xml:space="preserve">3.6 Cancellation:</w:t>
      </w:r>
      <w:r>
        <w:t xml:space="preserve"> </w:t>
      </w:r>
      <w:r>
        <w:t xml:space="preserve">Either party may terminate the engagement with a written notice period of sixty (60) days. In the event of early termination, all services rendered up to the termination date shall be invoiced in full.</w:t>
      </w:r>
    </w:p>
    <w:p>
      <w:pPr>
        <w:pStyle w:val="BodyText"/>
      </w:pPr>
      <w:r>
        <w:rPr>
          <w:bCs/>
          <w:b/>
        </w:rPr>
        <w:t xml:space="preserve">3.7 Insurance and Liability:</w:t>
      </w:r>
      <w:r>
        <w:t xml:space="preserve"> </w:t>
      </w:r>
      <w:r>
        <w:t xml:space="preserve">Munich Financial Advisory Group GmbH maintains professional indemnity insurance with a coverage of €5,000,000 per claim. Liability is limited to the total value of this</w:t>
      </w:r>
      <w:r>
        <w:t xml:space="preserve"> </w:t>
      </w:r>
      <w:r>
        <w:t xml:space="preserve">Quotation Estimate</w:t>
      </w:r>
      <w:r>
        <w:t xml:space="preserve">.</w:t>
      </w:r>
    </w:p>
    <w:p>
      <w:pPr>
        <w:pStyle w:val="BodyText"/>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authorises Munich Financial Advisory Group GmbH to commence the</w:t>
      </w:r>
      <w:r>
        <w:t xml:space="preserve"> </w:t>
      </w:r>
      <w:r>
        <w:t xml:space="preserve">Financial Analyst</w:t>
      </w:r>
      <w:r>
        <w:t xml:space="preserve"> </w:t>
      </w:r>
      <w:r>
        <w:t xml:space="preserve">engagement in</w:t>
      </w:r>
      <w:r>
        <w:t xml:space="preserve"> </w:t>
      </w:r>
      <w:r>
        <w:t xml:space="preserve">Germany Munich</w:t>
      </w:r>
      <w:r>
        <w:t xml:space="preserve"> </w:t>
      </w:r>
      <w:r>
        <w:t xml:space="preserve">under the terms and conditions set forth in this document.</w:t>
      </w:r>
    </w:p>
    <w:p>
      <w:pPr>
        <w:pStyle w:val="BodyText"/>
      </w:pPr>
      <w:r>
        <w:rPr>
          <w:bCs/>
          <w:b/>
        </w:rPr>
        <w:t xml:space="preserve">For Munich Financial Advisory Group GmbH</w:t>
      </w:r>
    </w:p>
    <w:p>
      <w:pPr>
        <w:pStyle w:val="BodyText"/>
      </w:pPr>
      <w:r>
        <w:t xml:space="preserve">Sarah Lindner — Senior Analyst / Authorised Signatory</w:t>
      </w:r>
      <w:r>
        <w:br/>
      </w:r>
      <w:r>
        <w:t xml:space="preserve">Date: ______________________</w:t>
      </w:r>
    </w:p>
    <w:p>
      <w:pPr>
        <w:pStyle w:val="BodyText"/>
      </w:pPr>
      <w:r>
        <w:rPr>
          <w:bCs/>
          <w:b/>
        </w:rPr>
        <w:t xml:space="preserve">For Bayerische Industrieholding AG</w:t>
      </w:r>
    </w:p>
    <w:p>
      <w:pPr>
        <w:pStyle w:val="BodyText"/>
      </w:pPr>
      <w:r>
        <w:t xml:space="preserve">Dr. Heinrich Vogel — Chief Financial Officer</w:t>
      </w:r>
      <w:r>
        <w:br/>
      </w:r>
      <w:r>
        <w:t xml:space="preserve">Date: ______________________</w:t>
      </w:r>
    </w:p>
    <w:p>
      <w:pPr>
        <w:pStyle w:val="BodyText"/>
      </w:pPr>
      <w:r>
        <w:t xml:space="preserve">This</w:t>
      </w:r>
      <w:r>
        <w:t xml:space="preserve"> </w:t>
      </w:r>
      <w:r>
        <w:t xml:space="preserve">Quotation Estimate</w:t>
      </w:r>
      <w:r>
        <w:t xml:space="preserve"> </w:t>
      </w:r>
      <w:r>
        <w:t xml:space="preserve">(Ref. QFE-2025-0847) is a confidential commercial document intended solely for the named recipient. Reproduction or distribution without written consent from Munich Financial Advisory Group GmbH, Munich, Germany, is strictly prohibited. © 2025 Munich Financial Advisory Group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Germany Munich</dc:title>
  <dc:creator/>
  <dc:language>en</dc:language>
  <cp:keywords/>
  <dcterms:created xsi:type="dcterms:W3CDTF">2026-10-10T04:30:32Z</dcterms:created>
  <dcterms:modified xsi:type="dcterms:W3CDTF">2026-10-10T04:30:32Z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