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Iran Tehran</w:t>
      </w:r>
    </w:p>
    <w:p>
      <w:pPr>
        <w:pStyle w:val="BodyText"/>
      </w:pPr>
      <w:r>
        <w:t xml:space="preserve">Document Reference: QE-FA-2025-0047</w:t>
      </w:r>
    </w:p>
    <w:bookmarkEnd w:id="20"/>
    <w:p>
      <w:pPr>
        <w:pStyle w:val="BodyText"/>
      </w:pPr>
      <w:r>
        <w:rPr>
          <w:bCs/>
          <w:b/>
        </w:rPr>
        <w:t xml:space="preserve">Quotation Estimate No.:</w:t>
      </w:r>
      <w:r>
        <w:t xml:space="preserve"> </w:t>
      </w:r>
      <w:r>
        <w:t xml:space="preserve">QE-FA-2025-0047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Location of Service:</w:t>
      </w:r>
      <w:r>
        <w:t xml:space="preserve"> </w:t>
      </w:r>
      <w:r>
        <w:t xml:space="preserve">Iran Tehran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costs associated with the engagement of a qualified</w:t>
      </w:r>
      <w:r>
        <w:t xml:space="preserve"> </w:t>
      </w:r>
      <w:r>
        <w:t xml:space="preserve">Financial Analyst</w:t>
      </w:r>
      <w:r>
        <w:t xml:space="preserve"> </w:t>
      </w:r>
      <w:r>
        <w:t xml:space="preserve">to deliver specialized advisory and analytical services to organizations operating within</w:t>
      </w:r>
      <w:r>
        <w:t xml:space="preserve"> </w:t>
      </w:r>
      <w:r>
        <w:t xml:space="preserve">Iran Tehran</w:t>
      </w:r>
      <w:r>
        <w:t xml:space="preserve">. The purpose of this Quotation Estimate is to outline the scope of work, deliverables, timelines, and associated fees for the Financial Analyst engagement, ensuring full alignment with the regulatory, economic, and operational environment specific to Iran Tehran.</w:t>
      </w:r>
    </w:p>
    <w:p>
      <w:pPr>
        <w:pStyle w:val="BodyText"/>
      </w:pPr>
      <w:r>
        <w:t xml:space="preserve">All pricing and service terms contained within this Quotation Estimate have been calibrated to reflect the current market conditions, currency considerations, and professional standards applicable to the Iran Tehran business landscape. The Financial Analyst services described herein are designed to meet the unique demands of enterprises, financial institutions, and governmental bodies located in Iran Tehran.</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 Quotation Estimate will provide the following core services to the client in Iran Tehran:</w:t>
      </w:r>
    </w:p>
    <w:p>
      <w:pPr>
        <w:numPr>
          <w:ilvl w:val="0"/>
          <w:numId w:val="1001"/>
        </w:numPr>
        <w:pStyle w:val="Compact"/>
      </w:pPr>
      <w:r>
        <w:rPr>
          <w:bCs/>
          <w:b/>
        </w:rPr>
        <w:t xml:space="preserve">Financial Modeling and Forecasting:</w:t>
      </w:r>
      <w:r>
        <w:t xml:space="preserve"> </w:t>
      </w:r>
      <w:r>
        <w:t xml:space="preserve">Development of comprehensive financial models, revenue projections, and cash flow analyses tailored to the Iran Tehran market conditions, including considerations for local currency fluctuations and import/export regulations.</w:t>
      </w:r>
    </w:p>
    <w:p>
      <w:pPr>
        <w:numPr>
          <w:ilvl w:val="0"/>
          <w:numId w:val="1001"/>
        </w:numPr>
        <w:pStyle w:val="Compact"/>
      </w:pPr>
      <w:r>
        <w:rPr>
          <w:bCs/>
          <w:b/>
        </w:rPr>
        <w:t xml:space="preserve">Investment Analysis and Due Diligence:</w:t>
      </w:r>
      <w:r>
        <w:t xml:space="preserve"> </w:t>
      </w:r>
      <w:r>
        <w:t xml:space="preserve">Conducting thorough evaluation of potential investment opportunities, portfolio performance reviews, and risk assessments relevant to the Iran Tehran economic environment.</w:t>
      </w:r>
    </w:p>
    <w:p>
      <w:pPr>
        <w:numPr>
          <w:ilvl w:val="0"/>
          <w:numId w:val="1001"/>
        </w:numPr>
        <w:pStyle w:val="Compact"/>
      </w:pPr>
      <w:r>
        <w:rPr>
          <w:bCs/>
          <w:b/>
        </w:rPr>
        <w:t xml:space="preserve">Budgeting and Variance Analysis:</w:t>
      </w:r>
      <w:r>
        <w:t xml:space="preserve"> </w:t>
      </w:r>
      <w:r>
        <w:t xml:space="preserve">Preparation of annual and quarterly budgets, monitoring of actual versus projected performance, and detailed variance reporting for management decision-making.</w:t>
      </w:r>
    </w:p>
    <w:p>
      <w:pPr>
        <w:numPr>
          <w:ilvl w:val="0"/>
          <w:numId w:val="1001"/>
        </w:numPr>
        <w:pStyle w:val="Compact"/>
      </w:pPr>
      <w:r>
        <w:rPr>
          <w:bCs/>
          <w:b/>
        </w:rPr>
        <w:t xml:space="preserve">Regulatory Compliance Reporting:</w:t>
      </w:r>
      <w:r>
        <w:t xml:space="preserve"> </w:t>
      </w:r>
      <w:r>
        <w:t xml:space="preserve">Ensuring all financial reporting aligns with the standards set by the Central Bank of Iran, the Securities and Exchange Organization of Iran, and applicable local accounting frameworks in Iran Tehran.</w:t>
      </w:r>
    </w:p>
    <w:p>
      <w:pPr>
        <w:numPr>
          <w:ilvl w:val="0"/>
          <w:numId w:val="1001"/>
        </w:numPr>
        <w:pStyle w:val="Compact"/>
      </w:pPr>
      <w:r>
        <w:rPr>
          <w:bCs/>
          <w:b/>
        </w:rPr>
        <w:t xml:space="preserve">Strategic Financial Advisory:</w:t>
      </w:r>
      <w:r>
        <w:t xml:space="preserve"> </w:t>
      </w:r>
      <w:r>
        <w:t xml:space="preserve">Providing executive-level recommendations on capital structure, cost optimization, and growth strategies specific to the Iran Tehran business ecosystem.</w:t>
      </w:r>
    </w:p>
    <w:p>
      <w:pPr>
        <w:numPr>
          <w:ilvl w:val="0"/>
          <w:numId w:val="1001"/>
        </w:numPr>
        <w:pStyle w:val="Compact"/>
      </w:pPr>
      <w:r>
        <w:rPr>
          <w:bCs/>
          <w:b/>
        </w:rPr>
        <w:t xml:space="preserve">Market Research and Competitive Benchmarking:</w:t>
      </w:r>
      <w:r>
        <w:t xml:space="preserve"> </w:t>
      </w:r>
      <w:r>
        <w:t xml:space="preserve">Analysis of sector-specific financial data and competitive positioning within the Iran Tehran market.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Financial Analyst – On-site Consultation (Iran Tehran office)</w:t>
            </w:r>
          </w:p>
        </w:tc>
        <w:tc>
          <w:tcPr/>
          <w:p>
            <w:pPr>
              <w:pStyle w:val="Compact"/>
              <w:jc w:val="left"/>
            </w:pPr>
            <w:r>
              <w:t xml:space="preserve">Monthly</w:t>
            </w:r>
          </w:p>
        </w:tc>
        <w:tc>
          <w:tcPr/>
          <w:p>
            <w:pPr>
              <w:pStyle w:val="Compact"/>
              <w:jc w:val="left"/>
            </w:pPr>
            <w:r>
              <w:t xml:space="preserve">4,500</w:t>
            </w:r>
          </w:p>
        </w:tc>
        <w:tc>
          <w:tcPr/>
          <w:p>
            <w:pPr>
              <w:pStyle w:val="Compact"/>
              <w:jc w:val="left"/>
            </w:pPr>
            <w:r>
              <w:t xml:space="preserve">12</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Financial Modeling &amp; Forecasting Development</w:t>
            </w:r>
          </w:p>
        </w:tc>
        <w:tc>
          <w:tcPr/>
          <w:p>
            <w:pPr>
              <w:pStyle w:val="Compact"/>
              <w:jc w:val="left"/>
            </w:pPr>
            <w:r>
              <w:t xml:space="preserve">One-time</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r>
      <w:tr>
        <w:tc>
          <w:tcPr/>
          <w:p>
            <w:pPr>
              <w:pStyle w:val="Compact"/>
              <w:jc w:val="left"/>
            </w:pPr>
            <w:r>
              <w:t xml:space="preserve">03</w:t>
            </w:r>
          </w:p>
        </w:tc>
        <w:tc>
          <w:tcPr/>
          <w:p>
            <w:pPr>
              <w:pStyle w:val="Compact"/>
              <w:jc w:val="left"/>
            </w:pPr>
            <w:r>
              <w:t xml:space="preserve">Investment Due Diligence Reports (per project)</w:t>
            </w:r>
          </w:p>
        </w:tc>
        <w:tc>
          <w:tcPr/>
          <w:p>
            <w:pPr>
              <w:pStyle w:val="Compact"/>
              <w:jc w:val="left"/>
            </w:pPr>
            <w:r>
              <w:t xml:space="preserve">Per project</w:t>
            </w:r>
          </w:p>
        </w:tc>
        <w:tc>
          <w:tcPr/>
          <w:p>
            <w:pPr>
              <w:pStyle w:val="Compact"/>
              <w:jc w:val="left"/>
            </w:pPr>
            <w:r>
              <w:t xml:space="preserve">3,500</w:t>
            </w:r>
          </w:p>
        </w:tc>
        <w:tc>
          <w:tcPr/>
          <w:p>
            <w:pPr>
              <w:pStyle w:val="Compact"/>
              <w:jc w:val="left"/>
            </w:pPr>
            <w:r>
              <w:t xml:space="preserve">4</w:t>
            </w:r>
          </w:p>
        </w:tc>
        <w:tc>
          <w:tcPr/>
          <w:p>
            <w:pPr>
              <w:pStyle w:val="Compact"/>
              <w:jc w:val="left"/>
            </w:pPr>
            <w:r>
              <w:t xml:space="preserve">14,000</w:t>
            </w:r>
          </w:p>
        </w:tc>
      </w:tr>
      <w:tr>
        <w:tc>
          <w:tcPr/>
          <w:p>
            <w:pPr>
              <w:pStyle w:val="Compact"/>
              <w:jc w:val="left"/>
            </w:pPr>
            <w:r>
              <w:t xml:space="preserve">04</w:t>
            </w:r>
          </w:p>
        </w:tc>
        <w:tc>
          <w:tcPr/>
          <w:p>
            <w:pPr>
              <w:pStyle w:val="Compact"/>
              <w:jc w:val="left"/>
            </w:pPr>
            <w:r>
              <w:t xml:space="preserve">Quarterly Variance Analysis &amp; Board Reporting</w:t>
            </w:r>
          </w:p>
        </w:tc>
        <w:tc>
          <w:tcPr/>
          <w:p>
            <w:pPr>
              <w:pStyle w:val="Compact"/>
              <w:jc w:val="left"/>
            </w:pPr>
            <w:r>
              <w:t xml:space="preserve">Quarterly</w:t>
            </w:r>
          </w:p>
        </w:tc>
        <w:tc>
          <w:tcPr/>
          <w:p>
            <w:pPr>
              <w:pStyle w:val="Compact"/>
              <w:jc w:val="left"/>
            </w:pPr>
            <w:r>
              <w:t xml:space="preserve">2,800</w:t>
            </w:r>
          </w:p>
        </w:tc>
        <w:tc>
          <w:tcPr/>
          <w:p>
            <w:pPr>
              <w:pStyle w:val="Compact"/>
              <w:jc w:val="left"/>
            </w:pPr>
            <w:r>
              <w:t xml:space="preserve">4</w:t>
            </w:r>
          </w:p>
        </w:tc>
        <w:tc>
          <w:tcPr/>
          <w:p>
            <w:pPr>
              <w:pStyle w:val="Compact"/>
              <w:jc w:val="left"/>
            </w:pPr>
            <w:r>
              <w:t xml:space="preserve">11,200</w:t>
            </w:r>
          </w:p>
        </w:tc>
      </w:tr>
      <w:tr>
        <w:tc>
          <w:tcPr/>
          <w:p>
            <w:pPr>
              <w:pStyle w:val="Compact"/>
              <w:jc w:val="left"/>
            </w:pPr>
            <w:r>
              <w:t xml:space="preserve">05</w:t>
            </w:r>
          </w:p>
        </w:tc>
        <w:tc>
          <w:tcPr/>
          <w:p>
            <w:pPr>
              <w:pStyle w:val="Compact"/>
              <w:jc w:val="left"/>
            </w:pPr>
            <w:r>
              <w:t xml:space="preserve">Regulatory Compliance Audit Support (Iran Tehran)</w:t>
            </w:r>
          </w:p>
        </w:tc>
        <w:tc>
          <w:tcPr/>
          <w:p>
            <w:pPr>
              <w:pStyle w:val="Compact"/>
              <w:jc w:val="left"/>
            </w:pPr>
            <w:r>
              <w:t xml:space="preserve">Annual</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06</w:t>
            </w:r>
          </w:p>
        </w:tc>
        <w:tc>
          <w:tcPr/>
          <w:p>
            <w:pPr>
              <w:pStyle w:val="Compact"/>
              <w:jc w:val="left"/>
            </w:pPr>
            <w:r>
              <w:t xml:space="preserve">Strategic Advisory Sessions (Iran Tehran HQ)</w:t>
            </w:r>
          </w:p>
        </w:tc>
        <w:tc>
          <w:tcPr/>
          <w:p>
            <w:pPr>
              <w:pStyle w:val="Compact"/>
              <w:jc w:val="left"/>
            </w:pPr>
            <w:r>
              <w:t xml:space="preserve">Monthly</w:t>
            </w:r>
          </w:p>
        </w:tc>
        <w:tc>
          <w:tcPr/>
          <w:p>
            <w:pPr>
              <w:pStyle w:val="Compact"/>
              <w:jc w:val="left"/>
            </w:pPr>
            <w:r>
              <w:t xml:space="preserve">1,200</w:t>
            </w:r>
          </w:p>
        </w:tc>
        <w:tc>
          <w:tcPr/>
          <w:p>
            <w:pPr>
              <w:pStyle w:val="Compact"/>
              <w:jc w:val="left"/>
            </w:pPr>
            <w:r>
              <w:t xml:space="preserve">12</w:t>
            </w:r>
          </w:p>
        </w:tc>
        <w:tc>
          <w:tcPr/>
          <w:p>
            <w:pPr>
              <w:pStyle w:val="Compact"/>
              <w:jc w:val="left"/>
            </w:pPr>
            <w:r>
              <w:t xml:space="preserve">14,400</w:t>
            </w:r>
          </w:p>
        </w:tc>
      </w:tr>
      <w:tr>
        <w:tc>
          <w:tcPr/>
          <w:p>
            <w:pPr>
              <w:pStyle w:val="Compact"/>
              <w:jc w:val="left"/>
            </w:pPr>
            <w:r>
              <w:t xml:space="preserve">07</w:t>
            </w:r>
          </w:p>
        </w:tc>
        <w:tc>
          <w:tcPr/>
          <w:p>
            <w:pPr>
              <w:pStyle w:val="Compact"/>
              <w:jc w:val="left"/>
            </w:pPr>
            <w:r>
              <w:t xml:space="preserve">Market Research &amp; Competitive Benchmarking (Iran Tehran sector)</w:t>
            </w:r>
          </w:p>
        </w:tc>
        <w:tc>
          <w:tcPr/>
          <w:p>
            <w:pPr>
              <w:pStyle w:val="Compact"/>
              <w:jc w:val="left"/>
            </w:pPr>
            <w:r>
              <w:t xml:space="preserve">One-time</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gridSpan w:val="5"/>
          </w:tcPr>
          <w:p>
            <w:pPr>
              <w:pStyle w:val="Compact"/>
              <w:jc w:val="left"/>
            </w:pPr>
            <w:r>
              <w:t xml:space="preserve">TOTAL ESTIMATED COST</w:t>
            </w:r>
          </w:p>
        </w:tc>
        <w:tc>
          <w:tcPr/>
          <w:p>
            <w:pPr>
              <w:pStyle w:val="Compact"/>
              <w:jc w:val="left"/>
            </w:pPr>
            <w:r>
              <w:t xml:space="preserve">113,100</w:t>
            </w:r>
          </w:p>
        </w:tc>
      </w:tr>
    </w:tbl>
    <w:bookmarkEnd w:id="23"/>
    <w:bookmarkStart w:id="24" w:name="payment-schedule-and-terms"/>
    <w:p>
      <w:pPr>
        <w:pStyle w:val="Heading2"/>
      </w:pPr>
      <w:r>
        <w:t xml:space="preserve">4. Payment Schedule and Terms</w:t>
      </w:r>
    </w:p>
    <w:p>
      <w:pPr>
        <w:pStyle w:val="FirstParagraph"/>
      </w:pPr>
      <w:r>
        <w:t xml:space="preserve">The payment structure for this Quotation Estimate is designed to align with the project milestones of the Financial Analyst engagement in Iran Tehran. Payments shall be made in United States Dollars (USD) or its equivalent in Iranian Rials (IRR) at the prevailing Central Bank of Iran exchange rate on the date of invoicing.</w:t>
      </w:r>
    </w:p>
    <w:p>
      <w:pPr>
        <w:numPr>
          <w:ilvl w:val="0"/>
          <w:numId w:val="1002"/>
        </w:numPr>
        <w:pStyle w:val="Compact"/>
      </w:pPr>
      <w:r>
        <w:rPr>
          <w:bCs/>
          <w:b/>
        </w:rPr>
        <w:t xml:space="preserve">Advance Payment (30%):</w:t>
      </w:r>
      <w:r>
        <w:t xml:space="preserve"> </w:t>
      </w:r>
      <w:r>
        <w:t xml:space="preserve">Due upon acceptance of this Quotation Estimate – $33,930</w:t>
      </w:r>
    </w:p>
    <w:p>
      <w:pPr>
        <w:numPr>
          <w:ilvl w:val="0"/>
          <w:numId w:val="1002"/>
        </w:numPr>
        <w:pStyle w:val="Compact"/>
      </w:pPr>
      <w:r>
        <w:rPr>
          <w:bCs/>
          <w:b/>
        </w:rPr>
        <w:t xml:space="preserve">Milestone Payment (40%):</w:t>
      </w:r>
      <w:r>
        <w:t xml:space="preserve"> </w:t>
      </w:r>
      <w:r>
        <w:t xml:space="preserve">Due upon completion of the first six months of Financial Analyst services – $45,240</w:t>
      </w:r>
    </w:p>
    <w:p>
      <w:pPr>
        <w:numPr>
          <w:ilvl w:val="0"/>
          <w:numId w:val="1002"/>
        </w:numPr>
        <w:pStyle w:val="Compact"/>
      </w:pPr>
      <w:r>
        <w:rPr>
          <w:bCs/>
          <w:b/>
        </w:rPr>
        <w:t xml:space="preserve">Final Payment (30%):</w:t>
      </w:r>
      <w:r>
        <w:t xml:space="preserve"> </w:t>
      </w:r>
      <w:r>
        <w:t xml:space="preserve">Due upon project completion and delivery of final reports – $33,930</w:t>
      </w:r>
    </w:p>
    <w:p>
      <w:pPr>
        <w:pStyle w:val="FirstParagraph"/>
      </w:pPr>
      <w:r>
        <w:t xml:space="preserve">All invoices are payable within thirty (30) calendar days of the invoice date. Late payments shall incur a penalty of 1.5% per month, calculated in accordance with commercial practices in Iran Tehran.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all rates and terms are subject to revision based on prevailing economic conditions in Iran Tehran.</w:t>
      </w:r>
    </w:p>
    <w:p>
      <w:pPr>
        <w:numPr>
          <w:ilvl w:val="0"/>
          <w:numId w:val="1003"/>
        </w:numPr>
        <w:pStyle w:val="Compact"/>
      </w:pPr>
      <w:r>
        <w:t xml:space="preserve">The Financial Analyst services shall be performed in compliance with all applicable laws, regulations, and professional standards governing financial advisory work in Iran Tehran.</w:t>
      </w:r>
    </w:p>
    <w:p>
      <w:pPr>
        <w:numPr>
          <w:ilvl w:val="0"/>
          <w:numId w:val="1003"/>
        </w:numPr>
        <w:pStyle w:val="Compact"/>
      </w:pPr>
      <w:r>
        <w:t xml:space="preserve">All data, reports, and deliverables produced by the Financial Analyst under this Quotation Estimate shall remain the exclusive property of the client.</w:t>
      </w:r>
    </w:p>
    <w:p>
      <w:pPr>
        <w:numPr>
          <w:ilvl w:val="0"/>
          <w:numId w:val="1003"/>
        </w:numPr>
        <w:pStyle w:val="Compact"/>
      </w:pPr>
      <w:r>
        <w:t xml:space="preserve">Confidentiality obligations shall survive the termination of this engagement for a period of five (5) years.</w:t>
      </w:r>
    </w:p>
    <w:p>
      <w:pPr>
        <w:numPr>
          <w:ilvl w:val="0"/>
          <w:numId w:val="1003"/>
        </w:numPr>
        <w:pStyle w:val="Compact"/>
      </w:pPr>
      <w:r>
        <w:t xml:space="preserve">Any changes to the scope of work outlined in this Quotation Estimate must be agreed upon in writing by both parties prior to implementation.</w:t>
      </w:r>
    </w:p>
    <w:p>
      <w:pPr>
        <w:numPr>
          <w:ilvl w:val="0"/>
          <w:numId w:val="1003"/>
        </w:numPr>
        <w:pStyle w:val="Compact"/>
      </w:pPr>
      <w:r>
        <w:t xml:space="preserve">The Financial Analyst shall maintain professional indemnity insurance with a minimum coverage of $500,000, valid throughout the duration of services in Iran Tehran.</w:t>
      </w:r>
    </w:p>
    <w:p>
      <w:pPr>
        <w:numPr>
          <w:ilvl w:val="0"/>
          <w:numId w:val="1003"/>
        </w:numPr>
        <w:pStyle w:val="Compact"/>
      </w:pPr>
      <w:r>
        <w:t xml:space="preserve">This Quotation Estimate does not constitute a binding contract until formally accepted in writing by both parties.</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pricing outlined in this Quotation Estimate for the Financial Analyst services to be delivered in Iran Tehran.</w:t>
      </w:r>
    </w:p>
    <w:bookmarkStart w:id="26" w:name="prepared-by-service-provider"/>
    <w:p>
      <w:pPr>
        <w:pStyle w:val="Heading3"/>
      </w:pPr>
      <w:r>
        <w:t xml:space="preserve">Prepared By (Service Provider)</w:t>
      </w:r>
    </w:p>
    <w:p>
      <w:pPr>
        <w:pStyle w:val="FirstParagraph"/>
      </w:pPr>
      <w:r>
        <w:t xml:space="preserve">Name: _________________________</w:t>
      </w:r>
    </w:p>
    <w:p>
      <w:pPr>
        <w:pStyle w:val="BodyText"/>
      </w:pPr>
      <w:r>
        <w:t xml:space="preserve">Title: _________________________</w:t>
      </w:r>
    </w:p>
    <w:p>
      <w:pPr>
        <w:pStyle w:val="BodyText"/>
      </w:pPr>
      <w:r>
        <w:t xml:space="preserve">Company: _________________________</w:t>
      </w:r>
    </w:p>
    <w:p>
      <w:pPr>
        <w:pStyle w:val="BodyText"/>
      </w:pPr>
      <w:r>
        <w:t xml:space="preserve">Signature &amp; Date</w:t>
      </w:r>
    </w:p>
    <w:bookmarkEnd w:id="26"/>
    <w:bookmarkStart w:id="27" w:name="accepted-by-client"/>
    <w:p>
      <w:pPr>
        <w:pStyle w:val="Heading3"/>
      </w:pPr>
      <w:r>
        <w:t xml:space="preserve">Accepted By (Client)</w:t>
      </w:r>
    </w:p>
    <w:p>
      <w:pPr>
        <w:pStyle w:val="FirstParagraph"/>
      </w:pPr>
      <w:r>
        <w:t xml:space="preserve">Name: _________________________</w:t>
      </w:r>
    </w:p>
    <w:p>
      <w:pPr>
        <w:pStyle w:val="BodyText"/>
      </w:pPr>
      <w:r>
        <w:t xml:space="preserve">Title: _________________________</w:t>
      </w:r>
    </w:p>
    <w:p>
      <w:pPr>
        <w:pStyle w:val="BodyText"/>
      </w:pPr>
      <w:r>
        <w:t xml:space="preserve">Company: _________________________</w:t>
      </w:r>
    </w:p>
    <w:p>
      <w:pPr>
        <w:pStyle w:val="BodyText"/>
      </w:pPr>
      <w:r>
        <w:t xml:space="preserve">Signature &amp; Date</w:t>
      </w:r>
    </w:p>
    <w:bookmarkEnd w:id="27"/>
    <w:p>
      <w:pPr>
        <w:pStyle w:val="BodyText"/>
      </w:pPr>
      <w:r>
        <w:t xml:space="preserve">This Quotation Estimate document (Ref: QE-FA-2025-0047) pertains exclusively to Financial Analyst services to be rendered in Iran Tehran. All figures are estimates and subject to final contractual agreement. For inquiries, please contact the undersigned office in Iran Tehran.</w:t>
      </w:r>
    </w:p>
    <w:p>
      <w:pPr>
        <w:pStyle w:val="BodyText"/>
      </w:pPr>
      <w:r>
        <w:t xml:space="preserve">© 2025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Iran Tehran</dc:title>
  <dc:creator/>
  <dc:language>en</dc:language>
  <cp:keywords/>
  <dcterms:created xsi:type="dcterms:W3CDTF">2026-10-10T03:07:12Z</dcterms:created>
  <dcterms:modified xsi:type="dcterms:W3CDTF">2026-10-10T03:07:12Z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