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Iraq</w:t>
      </w:r>
      <w:r>
        <w:t xml:space="preserve"> </w:t>
      </w:r>
      <w:r>
        <w:t xml:space="preserve">Baghdad</w:t>
      </w:r>
    </w:p>
    <w:bookmarkStart w:id="20" w:name="al-rafidain-business-consulting-llc"/>
    <w:p>
      <w:pPr>
        <w:pStyle w:val="Heading1"/>
      </w:pPr>
      <w:r>
        <w:t xml:space="preserve">Al-Rafidain Business Consulting LLC</w:t>
      </w:r>
    </w:p>
    <w:p>
      <w:pPr>
        <w:pStyle w:val="FirstParagraph"/>
      </w:pPr>
      <w:r>
        <w:t xml:space="preserve">Office: Al-Mansour District, Baghdad, Iraq</w:t>
      </w:r>
    </w:p>
    <w:p>
      <w:pPr>
        <w:pStyle w:val="BodyText"/>
      </w:pPr>
      <w:r>
        <w:t xml:space="preserve">Tel: +964 770 123 4567 | Email: info@alrafidainconsulting.iq</w:t>
      </w:r>
    </w:p>
    <w:p>
      <w:pPr>
        <w:pStyle w:val="BodyText"/>
      </w:pPr>
      <w:r>
        <w:t xml:space="preserve">Commercial Registration No: IQ-2024-008731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QTE-2025-BA-0412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Prepared For:</w:t>
            </w:r>
          </w:p>
        </w:tc>
        <w:tc>
          <w:tcPr/>
          <w:p>
            <w:pPr>
              <w:pStyle w:val="Compact"/>
              <w:jc w:val="left"/>
            </w:pPr>
            <w:r>
              <w:t xml:space="preserve">Client Name / Organization (Baghdad, Iraq)</w:t>
            </w:r>
          </w:p>
        </w:tc>
      </w:tr>
      <w:tr>
        <w:tc>
          <w:tcPr/>
          <w:p>
            <w:pPr>
              <w:pStyle w:val="Compact"/>
              <w:jc w:val="left"/>
            </w:pPr>
            <w:r>
              <w:t xml:space="preserve">Prepared By:</w:t>
            </w:r>
          </w:p>
        </w:tc>
        <w:tc>
          <w:tcPr/>
          <w:p>
            <w:pPr>
              <w:pStyle w:val="Compact"/>
              <w:jc w:val="left"/>
            </w:pPr>
            <w:r>
              <w:t xml:space="preserve">Al-Rafidain Business Consulting LLC, Iraq Baghdad</w:t>
            </w:r>
          </w:p>
        </w:tc>
      </w:tr>
      <w:tr>
        <w:tc>
          <w:tcPr/>
          <w:p>
            <w:pPr>
              <w:pStyle w:val="Compact"/>
              <w:jc w:val="left"/>
            </w:pPr>
            <w:r>
              <w:t xml:space="preserve">Service Category:</w:t>
            </w:r>
          </w:p>
        </w:tc>
        <w:tc>
          <w:tcPr/>
          <w:p>
            <w:pPr>
              <w:pStyle w:val="Compact"/>
              <w:jc w:val="left"/>
            </w:pPr>
            <w:r>
              <w:t xml:space="preserve">Professional Advisory – Financial Analyst Engagement</w:t>
            </w:r>
          </w:p>
        </w:tc>
      </w:tr>
      <w:tr>
        <w:tc>
          <w:tcPr/>
          <w:p>
            <w:pPr>
              <w:pStyle w:val="Compact"/>
              <w:jc w:val="left"/>
            </w:pPr>
            <w:r>
              <w:t xml:space="preserve">Location of Service:</w:t>
            </w:r>
          </w:p>
        </w:tc>
        <w:tc>
          <w:tcPr/>
          <w:p>
            <w:pPr>
              <w:pStyle w:val="Compact"/>
              <w:jc w:val="left"/>
            </w:pPr>
            <w:r>
              <w:t xml:space="preserve">Baghdad, Iraq</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Al-Rafidain Business Consulting LLC to provide a comprehensive and itemized cost breakdown for the engagement of a qualified</w:t>
      </w:r>
      <w:r>
        <w:t xml:space="preserve"> </w:t>
      </w:r>
      <w:r>
        <w:t xml:space="preserve">Financial Analyst</w:t>
      </w:r>
      <w:r>
        <w:t xml:space="preserve"> </w:t>
      </w:r>
      <w:r>
        <w:t xml:space="preserve">to deliver specialized advisory and analytical services within the city of</w:t>
      </w:r>
      <w:r>
        <w:t xml:space="preserve"> </w:t>
      </w:r>
      <w:r>
        <w:t xml:space="preserve">Iraq Baghdad</w:t>
      </w:r>
      <w:r>
        <w:t xml:space="preserve">. The scope of this engagement covers financial modeling, budget forecasting, variance analysis, investment evaluation, and regulatory compliance reporting tailored to the client's operational needs in the Iraqi market. This document serves as a formal</w:t>
      </w:r>
      <w:r>
        <w:t xml:space="preserve"> </w:t>
      </w:r>
      <w:r>
        <w:t xml:space="preserve">Quotation Estimate</w:t>
      </w:r>
      <w:r>
        <w:t xml:space="preserve"> </w:t>
      </w:r>
      <w:r>
        <w:t xml:space="preserve">and does not constitute a binding contract until both parties execute the final service agreement.</w:t>
      </w:r>
    </w:p>
    <w:p>
      <w:pPr>
        <w:pStyle w:val="BodyText"/>
      </w:pPr>
      <w:r>
        <w:t xml:space="preserve">2. Description of Services – Financial Analyst Engagement</w:t>
      </w:r>
    </w:p>
    <w:p>
      <w:pPr>
        <w:pStyle w:val="BodyText"/>
      </w:pPr>
      <w:r>
        <w:t xml:space="preserve">The</w:t>
      </w:r>
      <w:r>
        <w:t xml:space="preserve"> </w:t>
      </w:r>
      <w:r>
        <w:t xml:space="preserve">Financial Analyst</w:t>
      </w:r>
      <w:r>
        <w:t xml:space="preserve"> </w:t>
      </w:r>
      <w:r>
        <w:t xml:space="preserve">assigned under this</w:t>
      </w:r>
      <w:r>
        <w:t xml:space="preserve"> </w:t>
      </w:r>
      <w:r>
        <w:t xml:space="preserve">Quotation Estimate</w:t>
      </w:r>
      <w:r>
        <w:t xml:space="preserve"> </w:t>
      </w:r>
      <w:r>
        <w:t xml:space="preserve">will operate out of our office in the Al-Mansour District of</w:t>
      </w:r>
      <w:r>
        <w:t xml:space="preserve"> </w:t>
      </w:r>
      <w:r>
        <w:t xml:space="preserve">Iraq Baghdad</w:t>
      </w:r>
      <w:r>
        <w:t xml:space="preserve"> </w:t>
      </w:r>
      <w:r>
        <w:t xml:space="preserve">and will perform the following duties on behalf of the client:</w:t>
      </w:r>
    </w:p>
    <w:p>
      <w:pPr>
        <w:numPr>
          <w:ilvl w:val="0"/>
          <w:numId w:val="1001"/>
        </w:numPr>
        <w:pStyle w:val="Compact"/>
      </w:pPr>
      <w:r>
        <w:t xml:space="preserve">Development and maintenance of comprehensive financial models including discounted cash flow (DCF) analyses, sensitivity testing, and scenario planning relevant to the Iraqi economic environment.</w:t>
      </w:r>
    </w:p>
    <w:p>
      <w:pPr>
        <w:numPr>
          <w:ilvl w:val="0"/>
          <w:numId w:val="1001"/>
        </w:numPr>
        <w:pStyle w:val="Compact"/>
      </w:pPr>
      <w:r>
        <w:t xml:space="preserve">Preparation of monthly, quarterly, and annual financial reports in compliance with Iraqi Commercial Law and International Financial Reporting Standards (IFRS) as adopted in</w:t>
      </w:r>
      <w:r>
        <w:t xml:space="preserve"> </w:t>
      </w:r>
      <w:r>
        <w:t xml:space="preserve">Iraq Baghdad</w:t>
      </w:r>
      <w:r>
        <w:t xml:space="preserve">.</w:t>
      </w:r>
    </w:p>
    <w:p>
      <w:pPr>
        <w:numPr>
          <w:ilvl w:val="0"/>
          <w:numId w:val="1001"/>
        </w:numPr>
        <w:pStyle w:val="Compact"/>
      </w:pPr>
      <w:r>
        <w:t xml:space="preserve">Conducting detailed variance analysis between projected and actual financial performance, with written recommendations for corrective action.</w:t>
      </w:r>
    </w:p>
    <w:p>
      <w:pPr>
        <w:numPr>
          <w:ilvl w:val="0"/>
          <w:numId w:val="1001"/>
        </w:numPr>
        <w:pStyle w:val="Compact"/>
      </w:pPr>
      <w:r>
        <w:t xml:space="preserve">Assisting the client's management team in capital budgeting decisions, project feasibility studies, and return-on-investment (ROI) calculations for new ventures in the Baghdad metropolitan area.</w:t>
      </w:r>
    </w:p>
    <w:p>
      <w:pPr>
        <w:numPr>
          <w:ilvl w:val="0"/>
          <w:numId w:val="1001"/>
        </w:numPr>
        <w:pStyle w:val="Compact"/>
      </w:pPr>
      <w:r>
        <w:t xml:space="preserve">Monitoring and reporting on foreign exchange risk exposure, particularly regarding the Iraqi Dinar (IQD) against the US Dollar (USD), which is critical for businesses operating in</w:t>
      </w:r>
      <w:r>
        <w:t xml:space="preserve"> </w:t>
      </w:r>
      <w:r>
        <w:t xml:space="preserve">Iraq Baghdad</w:t>
      </w:r>
      <w:r>
        <w:t xml:space="preserve">.</w:t>
      </w:r>
    </w:p>
    <w:p>
      <w:pPr>
        <w:numPr>
          <w:ilvl w:val="0"/>
          <w:numId w:val="1001"/>
        </w:numPr>
        <w:pStyle w:val="Compact"/>
      </w:pPr>
      <w:r>
        <w:t xml:space="preserve">Providing ad-hoc analytical support for due diligence processes, merger and acquisition evaluations, and strategic planning sessions.</w:t>
      </w:r>
    </w:p>
    <w:p>
      <w:pPr>
        <w:numPr>
          <w:ilvl w:val="0"/>
          <w:numId w:val="1001"/>
        </w:numPr>
        <w:pStyle w:val="Compact"/>
      </w:pPr>
      <w:r>
        <w:t xml:space="preserve">Collaboration with the client's internal accounting and audit teams to ensure data integrity and regulatory alignment with the Central Bank of Iraq (CBI) guidelines.</w:t>
      </w:r>
    </w:p>
    <w:p>
      <w:pPr>
        <w:pStyle w:val="FirstParagraph"/>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Financial Analyst – Monthly Retainer (full-time, 8 hrs/day, 5 days/week, on-site in Iraq Baghdad)</w:t>
            </w:r>
          </w:p>
        </w:tc>
        <w:tc>
          <w:tcPr/>
          <w:p>
            <w:pPr>
              <w:pStyle w:val="Compact"/>
              <w:jc w:val="left"/>
            </w:pPr>
            <w:r>
              <w:t xml:space="preserve">12 months</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02</w:t>
            </w:r>
          </w:p>
        </w:tc>
        <w:tc>
          <w:tcPr/>
          <w:p>
            <w:pPr>
              <w:pStyle w:val="Compact"/>
              <w:jc w:val="left"/>
            </w:pPr>
            <w:r>
              <w:t xml:space="preserve">Financial Modeling &amp; Forecasting Package (initial setup, 3-year projection model)</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03</w:t>
            </w:r>
          </w:p>
        </w:tc>
        <w:tc>
          <w:tcPr/>
          <w:p>
            <w:pPr>
              <w:pStyle w:val="Compact"/>
              <w:jc w:val="left"/>
            </w:pPr>
            <w:r>
              <w:t xml:space="preserve">Quarterly Variance Analysis &amp; Board Reporting (4 reports per year)</w:t>
            </w:r>
          </w:p>
        </w:tc>
        <w:tc>
          <w:tcPr/>
          <w:p>
            <w:pPr>
              <w:pStyle w:val="Compact"/>
              <w:jc w:val="left"/>
            </w:pPr>
            <w:r>
              <w:t xml:space="preserve">4 reports</w:t>
            </w:r>
          </w:p>
        </w:tc>
        <w:tc>
          <w:tcPr/>
          <w:p>
            <w:pPr>
              <w:pStyle w:val="Compact"/>
              <w:jc w:val="left"/>
            </w:pPr>
            <w:r>
              <w:t xml:space="preserve">$1,200 / report</w:t>
            </w:r>
          </w:p>
        </w:tc>
        <w:tc>
          <w:tcPr/>
          <w:p>
            <w:pPr>
              <w:pStyle w:val="Compact"/>
              <w:jc w:val="left"/>
            </w:pPr>
            <w:r>
              <w:t xml:space="preserve">$4,800</w:t>
            </w:r>
          </w:p>
        </w:tc>
      </w:tr>
      <w:tr>
        <w:tc>
          <w:tcPr/>
          <w:p>
            <w:pPr>
              <w:pStyle w:val="Compact"/>
              <w:jc w:val="left"/>
            </w:pPr>
            <w:r>
              <w:t xml:space="preserve">04</w:t>
            </w:r>
          </w:p>
        </w:tc>
        <w:tc>
          <w:tcPr/>
          <w:p>
            <w:pPr>
              <w:pStyle w:val="Compact"/>
              <w:jc w:val="left"/>
            </w:pPr>
            <w:r>
              <w:t xml:space="preserve">FX Risk Monitoring &amp; Hedging Advisory (monthly briefings)</w:t>
            </w:r>
          </w:p>
        </w:tc>
        <w:tc>
          <w:tcPr/>
          <w:p>
            <w:pPr>
              <w:pStyle w:val="Compact"/>
              <w:jc w:val="left"/>
            </w:pPr>
            <w:r>
              <w:t xml:space="preserve">12 months</w:t>
            </w:r>
          </w:p>
        </w:tc>
        <w:tc>
          <w:tcPr/>
          <w:p>
            <w:pPr>
              <w:pStyle w:val="Compact"/>
              <w:jc w:val="left"/>
            </w:pPr>
            <w:r>
              <w:t xml:space="preserve">$350 / month</w:t>
            </w:r>
          </w:p>
        </w:tc>
        <w:tc>
          <w:tcPr/>
          <w:p>
            <w:pPr>
              <w:pStyle w:val="Compact"/>
              <w:jc w:val="left"/>
            </w:pPr>
            <w:r>
              <w:t xml:space="preserve">$4,200</w:t>
            </w:r>
          </w:p>
        </w:tc>
      </w:tr>
      <w:tr>
        <w:tc>
          <w:tcPr/>
          <w:p>
            <w:pPr>
              <w:pStyle w:val="Compact"/>
              <w:jc w:val="left"/>
            </w:pPr>
            <w:r>
              <w:t xml:space="preserve">05</w:t>
            </w:r>
          </w:p>
        </w:tc>
        <w:tc>
          <w:tcPr/>
          <w:p>
            <w:pPr>
              <w:pStyle w:val="Compact"/>
              <w:jc w:val="left"/>
            </w:pPr>
            <w:r>
              <w:t xml:space="preserve">Ad-hoc Project Support (due diligence, feasibility studies) – estimated hours</w:t>
            </w:r>
          </w:p>
        </w:tc>
        <w:tc>
          <w:tcPr/>
          <w:p>
            <w:pPr>
              <w:pStyle w:val="Compact"/>
              <w:jc w:val="left"/>
            </w:pPr>
            <w:r>
              <w:t xml:space="preserve">60 hours</w:t>
            </w:r>
          </w:p>
        </w:tc>
        <w:tc>
          <w:tcPr/>
          <w:p>
            <w:pPr>
              <w:pStyle w:val="Compact"/>
              <w:jc w:val="left"/>
            </w:pPr>
            <w:r>
              <w:t xml:space="preserve">$150 / hour</w:t>
            </w:r>
          </w:p>
        </w:tc>
        <w:tc>
          <w:tcPr/>
          <w:p>
            <w:pPr>
              <w:pStyle w:val="Compact"/>
              <w:jc w:val="left"/>
            </w:pPr>
            <w:r>
              <w:t xml:space="preserve">$9,000</w:t>
            </w:r>
          </w:p>
        </w:tc>
      </w:tr>
      <w:tr>
        <w:tc>
          <w:tcPr/>
          <w:p>
            <w:pPr>
              <w:pStyle w:val="Compact"/>
              <w:jc w:val="left"/>
            </w:pPr>
            <w:r>
              <w:t xml:space="preserve">06</w:t>
            </w:r>
          </w:p>
        </w:tc>
        <w:tc>
          <w:tcPr/>
          <w:p>
            <w:pPr>
              <w:pStyle w:val="Compact"/>
              <w:jc w:val="left"/>
            </w:pPr>
            <w:r>
              <w:t xml:space="preserve">Software &amp; Licensing (Bloomberg Terminal access, Excel add-ins, data feeds for Iraq market)</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w:t>
            </w:r>
          </w:p>
        </w:tc>
      </w:tr>
      <w:tr>
        <w:tc>
          <w:tcPr/>
          <w:p>
            <w:pPr>
              <w:pStyle w:val="Compact"/>
              <w:jc w:val="left"/>
            </w:pPr>
            <w:r>
              <w:t xml:space="preserve">07</w:t>
            </w:r>
          </w:p>
        </w:tc>
        <w:tc>
          <w:tcPr/>
          <w:p>
            <w:pPr>
              <w:pStyle w:val="Compact"/>
              <w:jc w:val="left"/>
            </w:pPr>
            <w:r>
              <w:t xml:space="preserve">Travel &amp; Local Transportation within Baghdad (client site visits, CBI meetings)</w:t>
            </w:r>
          </w:p>
        </w:tc>
        <w:tc>
          <w:tcPr/>
          <w:p>
            <w:pPr>
              <w:pStyle w:val="Compact"/>
              <w:jc w:val="left"/>
            </w:pPr>
            <w:r>
              <w:t xml:space="preserve">12 months</w:t>
            </w:r>
          </w:p>
        </w:tc>
        <w:tc>
          <w:tcPr/>
          <w:p>
            <w:pPr>
              <w:pStyle w:val="Compact"/>
              <w:jc w:val="left"/>
            </w:pPr>
            <w:r>
              <w:t xml:space="preserve">$200 / month</w:t>
            </w:r>
          </w:p>
        </w:tc>
        <w:tc>
          <w:tcPr/>
          <w:p>
            <w:pPr>
              <w:pStyle w:val="Compact"/>
              <w:jc w:val="left"/>
            </w:pPr>
            <w:r>
              <w:t xml:space="preserve">$2,400</w:t>
            </w:r>
          </w:p>
        </w:tc>
      </w:tr>
      <w:tr>
        <w:tc>
          <w:tcPr/>
          <w:p>
            <w:pPr>
              <w:pStyle w:val="Compact"/>
              <w:jc w:val="left"/>
            </w:pPr>
            <w:r>
              <w:t xml:space="preserve">08</w:t>
            </w:r>
          </w:p>
        </w:tc>
        <w:tc>
          <w:tcPr/>
          <w:p>
            <w:pPr>
              <w:pStyle w:val="Compact"/>
              <w:jc w:val="left"/>
            </w:pPr>
            <w:r>
              <w:t xml:space="preserve">Project Management &amp; Coordination Fee (10% of items 01–07)</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$9,000</w:t>
            </w:r>
          </w:p>
        </w:tc>
      </w:tr>
      <w:tr>
        <w:tc>
          <w:tcPr>
            <w:gridSpan w:val="4"/>
          </w:tcPr>
          <w:p>
            <w:pPr>
              <w:pStyle w:val="Compact"/>
              <w:jc w:val="left"/>
            </w:pPr>
            <w:r>
              <w:t xml:space="preserve">Subtotal (USD)</w:t>
            </w:r>
          </w:p>
        </w:tc>
        <w:tc>
          <w:tcPr/>
          <w:p>
            <w:pPr>
              <w:pStyle w:val="Compact"/>
              <w:jc w:val="left"/>
            </w:pPr>
            <w:r>
              <w:t xml:space="preserve">$99,000</w:t>
            </w:r>
          </w:p>
        </w:tc>
      </w:tr>
      <w:tr>
        <w:tc>
          <w:tcPr>
            <w:gridSpan w:val="4"/>
          </w:tcPr>
          <w:p>
            <w:pPr>
              <w:pStyle w:val="Compact"/>
              <w:jc w:val="left"/>
            </w:pPr>
            <w:r>
              <w:t xml:space="preserve">VAT / Applicable Iraqi Tax (5%)</w:t>
            </w:r>
          </w:p>
        </w:tc>
        <w:tc>
          <w:tcPr/>
          <w:p>
            <w:pPr>
              <w:pStyle w:val="Compact"/>
              <w:jc w:val="left"/>
            </w:pPr>
            <w:r>
              <w:t xml:space="preserve">$4,950</w:t>
            </w:r>
          </w:p>
        </w:tc>
      </w:tr>
      <w:tr>
        <w:tc>
          <w:tcPr>
            <w:gridSpan w:val="4"/>
          </w:tcPr>
          <w:p>
            <w:pPr>
              <w:pStyle w:val="Compact"/>
              <w:jc w:val="left"/>
            </w:pPr>
            <w:r>
              <w:t xml:space="preserve">TOTAL ESTIMATED COST (USD)</w:t>
            </w:r>
          </w:p>
        </w:tc>
        <w:tc>
          <w:tcPr/>
          <w:p>
            <w:pPr>
              <w:pStyle w:val="Compact"/>
              <w:jc w:val="left"/>
            </w:pPr>
            <w:r>
              <w:t xml:space="preserve">$103,950</w:t>
            </w:r>
          </w:p>
        </w:tc>
      </w:tr>
    </w:tbl>
    <w:p>
      <w:pPr>
        <w:pStyle w:val="BodyText"/>
      </w:pPr>
      <w:r>
        <w:t xml:space="preserve">4. Payment Terms</w:t>
      </w:r>
    </w:p>
    <w:p>
      <w:pPr>
        <w:numPr>
          <w:ilvl w:val="0"/>
          <w:numId w:val="1002"/>
        </w:numPr>
        <w:pStyle w:val="Compact"/>
      </w:pPr>
      <w:r>
        <w:t xml:space="preserve">25%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Remaining 75% payable in equal monthly installments over the 12-month engagement period, due on the 5th business day of each month.</w:t>
      </w:r>
    </w:p>
    <w:p>
      <w:pPr>
        <w:numPr>
          <w:ilvl w:val="0"/>
          <w:numId w:val="1002"/>
        </w:numPr>
        <w:pStyle w:val="Compact"/>
      </w:pPr>
      <w:r>
        <w:t xml:space="preserve">All payments shall be made in US Dollars (USD) via bank transfer to the designated account of Al-Rafidain Business Consulting LLC, Baghdad, Iraq. Alternatively, payments may be made in Iraqi Dinars (IQD) at the Central Bank of Iraq's official exchange rate on the date of payment.</w:t>
      </w:r>
    </w:p>
    <w:p>
      <w:pPr>
        <w:numPr>
          <w:ilvl w:val="0"/>
          <w:numId w:val="1002"/>
        </w:numPr>
        <w:pStyle w:val="Compact"/>
      </w:pPr>
      <w:r>
        <w:t xml:space="preserve">Late payments exceeding 15 days will incur a penalty of 1.5% per month on the outstanding balance.</w:t>
      </w:r>
    </w:p>
    <w:p>
      <w:pPr>
        <w:pStyle w:val="FirstParagraph"/>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30 calendar days from the date of issue. After the expiry date, all rates and terms are subject to revision without prior notice.</w:t>
      </w:r>
    </w:p>
    <w:p>
      <w:pPr>
        <w:numPr>
          <w:ilvl w:val="0"/>
          <w:numId w:val="1003"/>
        </w:numPr>
        <w:pStyle w:val="Compact"/>
      </w:pPr>
      <w:r>
        <w:t xml:space="preserve">The</w:t>
      </w:r>
      <w:r>
        <w:t xml:space="preserve"> </w:t>
      </w:r>
      <w:r>
        <w:t xml:space="preserve">Financial Analyst</w:t>
      </w:r>
      <w:r>
        <w:t xml:space="preserve"> </w:t>
      </w:r>
      <w:r>
        <w:t xml:space="preserve">engagement is non-transferable. Any substitution of personnel requires written approval from the client.</w:t>
      </w:r>
    </w:p>
    <w:p>
      <w:pPr>
        <w:numPr>
          <w:ilvl w:val="0"/>
          <w:numId w:val="1003"/>
        </w:numPr>
        <w:pStyle w:val="Compact"/>
      </w:pPr>
      <w:r>
        <w:t xml:space="preserve">All deliverables, reports, and models produced under this engagement shall remain the intellectual property of the client upon full payment.</w:t>
      </w:r>
    </w:p>
    <w:p>
      <w:pPr>
        <w:numPr>
          <w:ilvl w:val="0"/>
          <w:numId w:val="1003"/>
        </w:numPr>
        <w:pStyle w:val="Compact"/>
      </w:pPr>
      <w:r>
        <w:t xml:space="preserve">Al-Rafidain Business Consulting LLC shall maintain professional indemnity insurance with a minimum coverage of USD 500,000, valid throughout the engagement period in</w:t>
      </w:r>
      <w:r>
        <w:t xml:space="preserve"> </w:t>
      </w:r>
      <w:r>
        <w:t xml:space="preserve">Iraq Baghdad</w:t>
      </w:r>
      <w:r>
        <w:t xml:space="preserve">.</w:t>
      </w:r>
    </w:p>
    <w:p>
      <w:pPr>
        <w:numPr>
          <w:ilvl w:val="0"/>
          <w:numId w:val="1003"/>
        </w:numPr>
        <w:pStyle w:val="Compact"/>
      </w:pPr>
      <w:r>
        <w:t xml:space="preserve">Confidentiality: The</w:t>
      </w:r>
      <w:r>
        <w:t xml:space="preserve"> </w:t>
      </w:r>
      <w:r>
        <w:t xml:space="preserve">Financial Analyst</w:t>
      </w:r>
      <w:r>
        <w:t xml:space="preserve"> </w:t>
      </w:r>
      <w:r>
        <w:t xml:space="preserve">and all supporting staff shall be bound by a Non-Disclosure Agreement (NDA) covering all financial data, trade secrets, and proprietary information of the client.</w:t>
      </w:r>
    </w:p>
    <w:p>
      <w:pPr>
        <w:numPr>
          <w:ilvl w:val="0"/>
          <w:numId w:val="1003"/>
        </w:numPr>
        <w:pStyle w:val="Compact"/>
      </w:pPr>
      <w:r>
        <w:t xml:space="preserve">Force Majeure: Neither party shall be liable for delays or failures in performance resulting from events beyond reasonable control, including but not limited to political instability, sanctions changes, natural disasters, or government-mandated shutdowns in</w:t>
      </w:r>
      <w:r>
        <w:t xml:space="preserve"> </w:t>
      </w:r>
      <w:r>
        <w:t xml:space="preserve">Iraq Baghdad</w:t>
      </w:r>
      <w:r>
        <w:t xml:space="preserve">.</w:t>
      </w:r>
    </w:p>
    <w:p>
      <w:pPr>
        <w:numPr>
          <w:ilvl w:val="0"/>
          <w:numId w:val="1003"/>
        </w:numPr>
        <w:pStyle w:val="Compact"/>
      </w:pPr>
      <w:r>
        <w:t xml:space="preserve">Dispute Resolution: Any disputes arising from this</w:t>
      </w:r>
      <w:r>
        <w:t xml:space="preserve"> </w:t>
      </w:r>
      <w:r>
        <w:t xml:space="preserve">Quotation Estimate</w:t>
      </w:r>
      <w:r>
        <w:t xml:space="preserve"> </w:t>
      </w:r>
      <w:r>
        <w:t xml:space="preserve">or the resulting service agreement shall be resolved through arbitration in Baghdad, Iraq, in accordance with the Iraqi Arbitration Law, with proceedings conducted in English.</w:t>
      </w:r>
    </w:p>
    <w:p>
      <w:pPr>
        <w:numPr>
          <w:ilvl w:val="0"/>
          <w:numId w:val="1003"/>
        </w:numPr>
        <w:pStyle w:val="Compact"/>
      </w:pPr>
      <w:r>
        <w:t xml:space="preserve">This</w:t>
      </w:r>
      <w:r>
        <w:t xml:space="preserve"> </w:t>
      </w:r>
      <w:r>
        <w:t xml:space="preserve">Quotation Estimate</w:t>
      </w:r>
      <w:r>
        <w:t xml:space="preserve"> </w:t>
      </w:r>
      <w:r>
        <w:t xml:space="preserve">does not guarantee specific financial outcomes. The</w:t>
      </w:r>
      <w:r>
        <w:t xml:space="preserve"> </w:t>
      </w:r>
      <w:r>
        <w:t xml:space="preserve">Financial Analyst</w:t>
      </w:r>
      <w:r>
        <w:t xml:space="preserve"> </w:t>
      </w:r>
      <w:r>
        <w:t xml:space="preserve">provides professional judgment and analysis; final business decisions rest solely with the client's management.</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Financial Analyst</w:t>
      </w:r>
      <w:r>
        <w:t xml:space="preserve"> </w:t>
      </w:r>
      <w:r>
        <w:t xml:space="preserve">in</w:t>
      </w:r>
      <w:r>
        <w:t xml:space="preserve"> </w:t>
      </w:r>
      <w:r>
        <w:t xml:space="preserve">Iraq Baghdad</w:t>
      </w:r>
      <w:r>
        <w:t xml:space="preserve">.</w:t>
      </w:r>
    </w:p>
    <w:p>
      <w:pPr>
        <w:pStyle w:val="BodyText"/>
      </w:pPr>
      <w:r>
        <w:rPr>
          <w:bCs/>
          <w:b/>
        </w:rPr>
        <w:t xml:space="preserve">For Al-Rafidain Business Consulting LLC</w:t>
      </w:r>
    </w:p>
    <w:p>
      <w:pPr>
        <w:pStyle w:val="BodyText"/>
      </w:pPr>
      <w:r>
        <w:t xml:space="preserve">Authorized Signatory</w:t>
      </w:r>
    </w:p>
    <w:p>
      <w:pPr>
        <w:pStyle w:val="BodyText"/>
      </w:pPr>
      <w:r>
        <w:t xml:space="preserve">Name: 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Al-Rafidain Business Consulting LLC | Al-Mansour District, Baghdad, Iraq | CR No: IQ-2024-008731</w:t>
      </w:r>
    </w:p>
    <w:p>
      <w:pPr>
        <w:pStyle w:val="BodyText"/>
      </w:pPr>
      <w:r>
        <w:t xml:space="preserve">This Quotation Estimate document is generated electronically and is valid without a physical stamp. For verification, contact the issuing office in Iraq Baghdad.</w:t>
      </w:r>
    </w:p>
    <w:p>
      <w:pPr>
        <w:pStyle w:val="BodyText"/>
      </w:pPr>
      <w:r>
        <w:t xml:space="preserve">Page 1 of 1 | QTE-2025-BA-0412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Iraq Baghdad</dc:title>
  <dc:creator/>
  <dc:language>en</dc:language>
  <cp:keywords/>
  <dcterms:created xsi:type="dcterms:W3CDTF">2026-10-10T06:27:35Z</dcterms:created>
  <dcterms:modified xsi:type="dcterms:W3CDTF">2026-10-10T06:27:35Z</dcterms:modified>
</cp:coreProperties>
</file>

<file path=docProps/custom.xml><?xml version="1.0" encoding="utf-8"?>
<Properties xmlns="http://schemas.openxmlformats.org/officeDocument/2006/custom-properties" xmlns:vt="http://schemas.openxmlformats.org/officeDocument/2006/docPropsVTypes"/>
</file>